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33" w:rsidRPr="00E267F2" w:rsidRDefault="00E15133" w:rsidP="00E15133">
      <w:pPr>
        <w:widowControl w:val="0"/>
        <w:spacing w:before="100" w:beforeAutospacing="1" w:after="100" w:afterAutospacing="1" w:line="360" w:lineRule="auto"/>
        <w:ind w:right="49"/>
        <w:jc w:val="both"/>
        <w:rPr>
          <w:rFonts w:ascii="Palatino Linotype" w:hAnsi="Palatino Linotype" w:cs="Arial"/>
          <w:b/>
          <w:bCs/>
          <w:sz w:val="24"/>
          <w:szCs w:val="24"/>
        </w:rPr>
      </w:pPr>
      <w:r w:rsidRPr="00E267F2">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sz w:val="24"/>
          <w:szCs w:val="24"/>
        </w:rPr>
        <w:t xml:space="preserve">OCTAVA </w:t>
      </w:r>
      <w:r w:rsidRPr="00E267F2">
        <w:rPr>
          <w:rFonts w:ascii="Palatino Linotype" w:hAnsi="Palatino Linotype" w:cs="Arial"/>
          <w:b/>
          <w:sz w:val="24"/>
          <w:szCs w:val="24"/>
        </w:rPr>
        <w:t xml:space="preserve">SESIÓN ORDINARIA DE </w:t>
      </w:r>
      <w:r>
        <w:rPr>
          <w:rFonts w:ascii="Palatino Linotype" w:hAnsi="Palatino Linotype" w:cs="Arial"/>
          <w:b/>
          <w:sz w:val="24"/>
          <w:szCs w:val="24"/>
        </w:rPr>
        <w:t xml:space="preserve">VEINTISIETE DE FEBRERO DE </w:t>
      </w:r>
      <w:r w:rsidRPr="00E267F2">
        <w:rPr>
          <w:rFonts w:ascii="Palatino Linotype" w:hAnsi="Palatino Linotype" w:cs="Arial"/>
          <w:b/>
          <w:sz w:val="24"/>
          <w:szCs w:val="24"/>
        </w:rPr>
        <w:t>DOS MIL DIECI</w:t>
      </w:r>
      <w:r>
        <w:rPr>
          <w:rFonts w:ascii="Palatino Linotype" w:hAnsi="Palatino Linotype" w:cs="Arial"/>
          <w:b/>
          <w:sz w:val="24"/>
          <w:szCs w:val="24"/>
        </w:rPr>
        <w:t>NUEVE</w:t>
      </w:r>
      <w:r w:rsidRPr="00E267F2">
        <w:rPr>
          <w:rFonts w:ascii="Palatino Linotype" w:hAnsi="Palatino Linotype" w:cs="Arial"/>
          <w:b/>
          <w:sz w:val="24"/>
          <w:szCs w:val="24"/>
        </w:rPr>
        <w:t xml:space="preserve">, EN EL RECURSO DE REVISIÓN </w:t>
      </w:r>
      <w:r>
        <w:rPr>
          <w:rFonts w:ascii="Palatino Linotype" w:hAnsi="Palatino Linotype" w:cs="Arial"/>
          <w:b/>
          <w:bCs/>
          <w:sz w:val="24"/>
          <w:szCs w:val="24"/>
        </w:rPr>
        <w:t>04585</w:t>
      </w:r>
      <w:r w:rsidRPr="00E267F2">
        <w:rPr>
          <w:rFonts w:ascii="Palatino Linotype" w:hAnsi="Palatino Linotype" w:cs="Arial"/>
          <w:b/>
          <w:bCs/>
          <w:sz w:val="24"/>
          <w:szCs w:val="24"/>
        </w:rPr>
        <w:t>/INFOEM/IP/RR/2018.</w:t>
      </w:r>
    </w:p>
    <w:p w:rsidR="00E15133" w:rsidRPr="00E267F2" w:rsidRDefault="00E15133" w:rsidP="00E15133">
      <w:pPr>
        <w:spacing w:before="100" w:beforeAutospacing="1" w:after="100" w:afterAutospacing="1" w:line="360" w:lineRule="auto"/>
        <w:ind w:right="49"/>
        <w:jc w:val="both"/>
        <w:rPr>
          <w:rFonts w:ascii="Palatino Linotype" w:hAnsi="Palatino Linotype" w:cs="Arial"/>
          <w:sz w:val="24"/>
          <w:szCs w:val="24"/>
        </w:rPr>
      </w:pPr>
      <w:r w:rsidRPr="00E267F2">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E267F2">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E267F2">
        <w:rPr>
          <w:rFonts w:ascii="Palatino Linotype" w:hAnsi="Palatino Linotype" w:cs="Arial"/>
          <w:b/>
          <w:sz w:val="24"/>
          <w:szCs w:val="24"/>
          <w:lang w:val="es-ES_tradnl"/>
        </w:rPr>
        <w:t xml:space="preserve"> </w:t>
      </w:r>
      <w:r w:rsidRPr="00E267F2">
        <w:rPr>
          <w:rFonts w:ascii="Palatino Linotype" w:hAnsi="Palatino Linotype" w:cs="Arial"/>
          <w:b/>
          <w:sz w:val="24"/>
          <w:szCs w:val="24"/>
        </w:rPr>
        <w:t xml:space="preserve">EVA ABAID YAPUR </w:t>
      </w:r>
      <w:r w:rsidRPr="00E267F2">
        <w:rPr>
          <w:rFonts w:ascii="Palatino Linotype" w:hAnsi="Palatino Linotype" w:cs="Arial"/>
          <w:sz w:val="24"/>
          <w:szCs w:val="24"/>
        </w:rPr>
        <w:t xml:space="preserve">emite </w:t>
      </w:r>
      <w:r w:rsidRPr="00E267F2">
        <w:rPr>
          <w:rFonts w:ascii="Palatino Linotype" w:hAnsi="Palatino Linotype" w:cs="Arial"/>
          <w:b/>
          <w:sz w:val="24"/>
          <w:szCs w:val="24"/>
        </w:rPr>
        <w:t xml:space="preserve">VOTO PARTICULAR </w:t>
      </w:r>
      <w:r w:rsidRPr="00E267F2">
        <w:rPr>
          <w:rFonts w:ascii="Palatino Linotype" w:hAnsi="Palatino Linotype" w:cs="Arial"/>
          <w:sz w:val="24"/>
          <w:szCs w:val="24"/>
        </w:rPr>
        <w:t xml:space="preserve">respecto de la resolución dictada en el recurso de revisión </w:t>
      </w:r>
      <w:r>
        <w:rPr>
          <w:rFonts w:ascii="Palatino Linotype" w:hAnsi="Palatino Linotype" w:cs="Arial"/>
          <w:b/>
          <w:bCs/>
          <w:sz w:val="24"/>
          <w:szCs w:val="24"/>
        </w:rPr>
        <w:t>04585</w:t>
      </w:r>
      <w:r w:rsidRPr="00E267F2">
        <w:rPr>
          <w:rFonts w:ascii="Palatino Linotype" w:hAnsi="Palatino Linotype" w:cs="Arial"/>
          <w:b/>
          <w:bCs/>
          <w:sz w:val="24"/>
          <w:szCs w:val="24"/>
        </w:rPr>
        <w:t>/INFOEM/IP/RR/2018</w:t>
      </w:r>
      <w:r w:rsidRPr="00E267F2">
        <w:rPr>
          <w:rFonts w:ascii="Palatino Linotype" w:hAnsi="Palatino Linotype" w:cs="Arial"/>
          <w:sz w:val="24"/>
          <w:szCs w:val="24"/>
        </w:rPr>
        <w:t xml:space="preserve">, pronunciada por el Pleno de este Instituto ante el proyecto presentado por </w:t>
      </w:r>
      <w:r>
        <w:rPr>
          <w:rFonts w:ascii="Palatino Linotype" w:hAnsi="Palatino Linotype" w:cs="Arial"/>
          <w:sz w:val="24"/>
          <w:szCs w:val="24"/>
        </w:rPr>
        <w:t>la Comisionada Presidenta</w:t>
      </w:r>
      <w:r w:rsidRPr="00E267F2">
        <w:rPr>
          <w:rFonts w:ascii="Palatino Linotype" w:hAnsi="Palatino Linotype" w:cs="Arial"/>
          <w:sz w:val="24"/>
          <w:szCs w:val="24"/>
        </w:rPr>
        <w:t xml:space="preserve"> </w:t>
      </w:r>
      <w:r>
        <w:rPr>
          <w:rFonts w:ascii="Palatino Linotype" w:hAnsi="Palatino Linotype" w:cs="Arial"/>
          <w:b/>
          <w:sz w:val="24"/>
          <w:szCs w:val="24"/>
        </w:rPr>
        <w:t>ZULEMA MARTÍNEZ SÁNCHEZ,</w:t>
      </w:r>
      <w:r w:rsidRPr="00E267F2">
        <w:rPr>
          <w:rFonts w:ascii="Palatino Linotype" w:hAnsi="Palatino Linotype" w:cs="Arial"/>
          <w:sz w:val="24"/>
          <w:szCs w:val="24"/>
        </w:rPr>
        <w:t xml:space="preserve"> que es del tenor siguiente.</w:t>
      </w:r>
    </w:p>
    <w:p w:rsidR="00E15133" w:rsidRPr="00E267F2" w:rsidRDefault="00E15133" w:rsidP="00E15133">
      <w:pPr>
        <w:spacing w:before="100" w:beforeAutospacing="1" w:after="100" w:afterAutospacing="1" w:line="360" w:lineRule="auto"/>
        <w:ind w:right="49"/>
        <w:jc w:val="both"/>
        <w:rPr>
          <w:rFonts w:ascii="Palatino Linotype" w:hAnsi="Palatino Linotype"/>
          <w:sz w:val="24"/>
          <w:szCs w:val="24"/>
        </w:rPr>
      </w:pPr>
      <w:r w:rsidRPr="00E267F2">
        <w:rPr>
          <w:rFonts w:ascii="Palatino Linotype" w:hAnsi="Palatino Linotype"/>
          <w:sz w:val="24"/>
          <w:szCs w:val="24"/>
        </w:rPr>
        <w:t xml:space="preserve">Es de destacar, que la suscrita comparte esencialmente el sentido de la resolución del recurso de revisión; </w:t>
      </w:r>
      <w:r>
        <w:rPr>
          <w:rFonts w:ascii="Palatino Linotype" w:hAnsi="Palatino Linotype"/>
          <w:sz w:val="24"/>
          <w:szCs w:val="24"/>
        </w:rPr>
        <w:t>por ello,</w:t>
      </w:r>
      <w:r w:rsidRPr="00E267F2">
        <w:rPr>
          <w:rFonts w:ascii="Palatino Linotype" w:hAnsi="Palatino Linotype"/>
          <w:sz w:val="24"/>
          <w:szCs w:val="24"/>
        </w:rPr>
        <w:t xml:space="preserve"> estimo necesario precisar algunas consideraciones de hecho y de derecho tocante a parte </w:t>
      </w:r>
      <w:r>
        <w:rPr>
          <w:rFonts w:ascii="Palatino Linotype" w:hAnsi="Palatino Linotype"/>
          <w:sz w:val="24"/>
          <w:szCs w:val="24"/>
        </w:rPr>
        <w:t>de la información que se ordena su entrega.</w:t>
      </w:r>
    </w:p>
    <w:p w:rsidR="00E15133" w:rsidRDefault="00E15133" w:rsidP="00E15133">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T</w:t>
      </w:r>
      <w:r w:rsidRPr="00E267F2">
        <w:rPr>
          <w:rFonts w:ascii="Palatino Linotype" w:hAnsi="Palatino Linotype"/>
          <w:sz w:val="24"/>
          <w:szCs w:val="24"/>
        </w:rPr>
        <w:t xml:space="preserve">al y como quedó debidamente asentado en la resolución materia del presente voto, el particular requirió del </w:t>
      </w:r>
      <w:r w:rsidRPr="002E19A1">
        <w:rPr>
          <w:rFonts w:ascii="Palatino Linotype" w:hAnsi="Palatino Linotype" w:cs="Arial"/>
          <w:b/>
          <w:sz w:val="24"/>
          <w:szCs w:val="24"/>
        </w:rPr>
        <w:t>Consejo Estatal de la Mujer y Bienestar Social</w:t>
      </w:r>
      <w:r w:rsidRPr="00E267F2">
        <w:rPr>
          <w:rFonts w:ascii="Palatino Linotype" w:hAnsi="Palatino Linotype"/>
          <w:sz w:val="24"/>
          <w:szCs w:val="24"/>
        </w:rPr>
        <w:t xml:space="preserve">, en lo sucesivo </w:t>
      </w:r>
      <w:r w:rsidRPr="00E267F2">
        <w:rPr>
          <w:rFonts w:ascii="Palatino Linotype" w:hAnsi="Palatino Linotype"/>
          <w:b/>
          <w:sz w:val="24"/>
          <w:szCs w:val="24"/>
        </w:rPr>
        <w:t>EL SUJETO OBLIGADO,</w:t>
      </w:r>
      <w:r w:rsidRPr="00E267F2">
        <w:rPr>
          <w:rFonts w:ascii="Palatino Linotype" w:hAnsi="Palatino Linotype"/>
          <w:sz w:val="24"/>
          <w:szCs w:val="24"/>
        </w:rPr>
        <w:t xml:space="preserve"> </w:t>
      </w:r>
      <w:r>
        <w:rPr>
          <w:rFonts w:ascii="Palatino Linotype" w:hAnsi="Palatino Linotype"/>
          <w:sz w:val="24"/>
          <w:szCs w:val="24"/>
        </w:rPr>
        <w:t xml:space="preserve">conocer la fecha de ingreso de todo el personal que labora; así como, el número de demandas laborales desde el 1 de enero de 2017 al 6 de </w:t>
      </w:r>
      <w:r>
        <w:rPr>
          <w:rFonts w:ascii="Palatino Linotype" w:hAnsi="Palatino Linotype"/>
          <w:sz w:val="24"/>
          <w:szCs w:val="24"/>
        </w:rPr>
        <w:lastRenderedPageBreak/>
        <w:t>noviembre de 2018, debiendo indicar, el nombre de los demandantes, motivo, estatus actual y el monto de lo pagado en los casos que lo ameritaron.</w:t>
      </w:r>
    </w:p>
    <w:p w:rsidR="00E15133" w:rsidRPr="00F07A5D" w:rsidRDefault="00E15133" w:rsidP="00F07A5D">
      <w:pPr>
        <w:spacing w:before="100" w:beforeAutospacing="1" w:after="100" w:afterAutospacing="1" w:line="360" w:lineRule="auto"/>
        <w:ind w:right="49"/>
        <w:jc w:val="both"/>
        <w:rPr>
          <w:rFonts w:ascii="Palatino Linotype" w:hAnsi="Palatino Linotype" w:cs="Arial"/>
          <w:sz w:val="24"/>
          <w:szCs w:val="24"/>
        </w:rPr>
      </w:pPr>
      <w:r w:rsidRPr="00E267F2">
        <w:rPr>
          <w:rFonts w:ascii="Palatino Linotype" w:hAnsi="Palatino Linotype" w:cs="Arial"/>
          <w:sz w:val="24"/>
          <w:szCs w:val="24"/>
        </w:rPr>
        <w:t xml:space="preserve">Así, </w:t>
      </w:r>
      <w:r w:rsidR="00F07A5D">
        <w:rPr>
          <w:rFonts w:ascii="Palatino Linotype" w:hAnsi="Palatino Linotype" w:cs="Arial"/>
          <w:sz w:val="24"/>
          <w:szCs w:val="24"/>
        </w:rPr>
        <w:t xml:space="preserve">de las constancias que obran en el expediente electrónico del Sistema de Acceso a la Información Pública del Estado de México SAIMEX, </w:t>
      </w:r>
      <w:r w:rsidR="00F07A5D" w:rsidRPr="00E267F2">
        <w:rPr>
          <w:rFonts w:ascii="Palatino Linotype" w:hAnsi="Palatino Linotype" w:cs="Arial"/>
          <w:b/>
          <w:sz w:val="24"/>
          <w:szCs w:val="24"/>
        </w:rPr>
        <w:t>EL SUJETO OBLIGADO</w:t>
      </w:r>
      <w:r w:rsidR="00F07A5D" w:rsidRPr="00E267F2">
        <w:rPr>
          <w:rFonts w:ascii="Palatino Linotype" w:hAnsi="Palatino Linotype" w:cs="Arial"/>
          <w:sz w:val="24"/>
          <w:szCs w:val="24"/>
        </w:rPr>
        <w:t xml:space="preserve"> </w:t>
      </w:r>
      <w:r w:rsidRPr="00E267F2">
        <w:rPr>
          <w:rFonts w:ascii="Palatino Linotype" w:hAnsi="Palatino Linotype" w:cs="Arial"/>
          <w:sz w:val="24"/>
          <w:szCs w:val="24"/>
        </w:rPr>
        <w:t xml:space="preserve">en lo conducente de su respuesta </w:t>
      </w:r>
      <w:r w:rsidR="00F07A5D">
        <w:rPr>
          <w:rFonts w:ascii="Palatino Linotype" w:hAnsi="Palatino Linotype" w:cs="Arial"/>
          <w:sz w:val="24"/>
          <w:szCs w:val="24"/>
        </w:rPr>
        <w:t xml:space="preserve">adjuntó dos archivos electrónicos mediante los cuales entregó parte del a información solicitada, señalando el nombre y la fecha de ingreso de diversos servidores públicos; mientras que en el diverso, anexó el Acuerdo mediante el cual el Comité de Transparencia clasificó como reservada la información correspondiente a los </w:t>
      </w:r>
      <w:r>
        <w:rPr>
          <w:rFonts w:ascii="Palatino Linotype" w:hAnsi="Palatino Linotype"/>
          <w:color w:val="000000"/>
          <w:sz w:val="24"/>
          <w:szCs w:val="24"/>
        </w:rPr>
        <w:t>expedientes de los juicios  en materia laboral de</w:t>
      </w:r>
      <w:r w:rsidR="00F07A5D">
        <w:rPr>
          <w:rFonts w:ascii="Palatino Linotype" w:hAnsi="Palatino Linotype"/>
          <w:color w:val="000000"/>
          <w:sz w:val="24"/>
          <w:szCs w:val="24"/>
        </w:rPr>
        <w:t xml:space="preserve">l 1 de enero de 2017 al </w:t>
      </w:r>
      <w:r>
        <w:rPr>
          <w:rFonts w:ascii="Palatino Linotype" w:hAnsi="Palatino Linotype"/>
          <w:color w:val="000000"/>
          <w:sz w:val="24"/>
          <w:szCs w:val="24"/>
        </w:rPr>
        <w:t>31 de octubre de 2018.</w:t>
      </w:r>
    </w:p>
    <w:p w:rsidR="00E15133" w:rsidRDefault="00E15133" w:rsidP="00E15133">
      <w:pPr>
        <w:spacing w:before="100" w:beforeAutospacing="1" w:after="100" w:afterAutospacing="1" w:line="360" w:lineRule="auto"/>
        <w:ind w:right="49"/>
        <w:jc w:val="both"/>
        <w:rPr>
          <w:rFonts w:ascii="Palatino Linotype" w:hAnsi="Palatino Linotype" w:cs="Arial"/>
          <w:sz w:val="24"/>
          <w:szCs w:val="24"/>
        </w:rPr>
      </w:pPr>
      <w:r w:rsidRPr="00E267F2">
        <w:rPr>
          <w:rFonts w:ascii="Palatino Linotype" w:hAnsi="Palatino Linotype" w:cs="Arial"/>
          <w:sz w:val="24"/>
          <w:szCs w:val="24"/>
        </w:rPr>
        <w:t xml:space="preserve">Inconforme con la respuesta otorgada a la solicitud de información, el hoy </w:t>
      </w:r>
      <w:r w:rsidRPr="00E267F2">
        <w:rPr>
          <w:rFonts w:ascii="Palatino Linotype" w:hAnsi="Palatino Linotype" w:cs="Arial"/>
          <w:b/>
          <w:sz w:val="24"/>
          <w:szCs w:val="24"/>
        </w:rPr>
        <w:t xml:space="preserve">RECURRENTE </w:t>
      </w:r>
      <w:r w:rsidRPr="00E267F2">
        <w:rPr>
          <w:rFonts w:ascii="Palatino Linotype" w:hAnsi="Palatino Linotype" w:cs="Arial"/>
          <w:sz w:val="24"/>
          <w:szCs w:val="24"/>
        </w:rPr>
        <w:t xml:space="preserve">presentó ante este Instituto el recurso de revisión al rubro anotado, señalando como motivo de inconformidad que </w:t>
      </w:r>
      <w:r w:rsidR="00F07A5D">
        <w:rPr>
          <w:rFonts w:ascii="Palatino Linotype" w:hAnsi="Palatino Linotype" w:cs="Arial"/>
          <w:sz w:val="24"/>
          <w:szCs w:val="24"/>
        </w:rPr>
        <w:t xml:space="preserve">debe proporcionarse la </w:t>
      </w:r>
      <w:r w:rsidRPr="00E267F2">
        <w:rPr>
          <w:rFonts w:ascii="Palatino Linotype" w:hAnsi="Palatino Linotype" w:cs="Arial"/>
          <w:sz w:val="24"/>
          <w:szCs w:val="24"/>
        </w:rPr>
        <w:t>información solicitada.</w:t>
      </w:r>
    </w:p>
    <w:p w:rsidR="00F07A5D" w:rsidRPr="00F07A5D" w:rsidRDefault="00E15133" w:rsidP="00E15133">
      <w:pPr>
        <w:spacing w:before="100" w:beforeAutospacing="1" w:after="100" w:afterAutospacing="1" w:line="360" w:lineRule="auto"/>
        <w:ind w:right="49"/>
        <w:jc w:val="both"/>
        <w:rPr>
          <w:rFonts w:ascii="Palatino Linotype" w:hAnsi="Palatino Linotype" w:cs="Arial"/>
          <w:sz w:val="24"/>
          <w:szCs w:val="24"/>
        </w:rPr>
      </w:pPr>
      <w:r w:rsidRPr="00E267F2">
        <w:rPr>
          <w:rFonts w:ascii="Palatino Linotype" w:hAnsi="Palatino Linotype" w:cs="Arial"/>
          <w:sz w:val="24"/>
          <w:szCs w:val="24"/>
        </w:rPr>
        <w:t xml:space="preserve">Bajo ese tenor, </w:t>
      </w:r>
      <w:r w:rsidR="00F07A5D">
        <w:rPr>
          <w:rFonts w:ascii="Palatino Linotype" w:hAnsi="Palatino Linotype" w:cs="Arial"/>
          <w:b/>
          <w:sz w:val="24"/>
          <w:szCs w:val="24"/>
        </w:rPr>
        <w:t xml:space="preserve">EL SUJETO OBLIGADO, </w:t>
      </w:r>
      <w:r w:rsidR="00F07A5D">
        <w:rPr>
          <w:rFonts w:ascii="Palatino Linotype" w:hAnsi="Palatino Linotype" w:cs="Arial"/>
          <w:sz w:val="24"/>
          <w:szCs w:val="24"/>
        </w:rPr>
        <w:t>remitió el Informe Justificado correspondiente; sin embargo, ratificó su respuesta.</w:t>
      </w:r>
    </w:p>
    <w:p w:rsidR="00E15133" w:rsidRDefault="00F07A5D" w:rsidP="00E15133">
      <w:pPr>
        <w:spacing w:before="100" w:beforeAutospacing="1" w:after="100" w:afterAutospacing="1" w:line="360" w:lineRule="auto"/>
        <w:ind w:right="49"/>
        <w:jc w:val="both"/>
        <w:rPr>
          <w:rFonts w:ascii="Palatino Linotype" w:hAnsi="Palatino Linotype"/>
          <w:sz w:val="24"/>
          <w:szCs w:val="24"/>
          <w:lang w:eastAsia="es-MX"/>
        </w:rPr>
      </w:pPr>
      <w:r>
        <w:rPr>
          <w:rFonts w:ascii="Palatino Linotype" w:hAnsi="Palatino Linotype" w:cs="Arial"/>
          <w:sz w:val="24"/>
          <w:szCs w:val="24"/>
        </w:rPr>
        <w:t xml:space="preserve">Por lo que, </w:t>
      </w:r>
      <w:r w:rsidR="00E15133" w:rsidRPr="00E267F2">
        <w:rPr>
          <w:rFonts w:ascii="Palatino Linotype" w:hAnsi="Palatino Linotype" w:cs="Arial"/>
          <w:sz w:val="24"/>
          <w:szCs w:val="24"/>
        </w:rPr>
        <w:t xml:space="preserve">del análisis a las constancias que obran en el SAIMEX, la Ponencia Resolutora determinó </w:t>
      </w:r>
      <w:r w:rsidR="00E15133" w:rsidRPr="00E267F2">
        <w:rPr>
          <w:rFonts w:ascii="Palatino Linotype" w:hAnsi="Palatino Linotype" w:cs="Arial"/>
          <w:b/>
          <w:sz w:val="24"/>
          <w:szCs w:val="24"/>
        </w:rPr>
        <w:t xml:space="preserve">MODIFICAR </w:t>
      </w:r>
      <w:r w:rsidR="00E15133" w:rsidRPr="00E267F2">
        <w:rPr>
          <w:rFonts w:ascii="Palatino Linotype" w:hAnsi="Palatino Linotype" w:cs="Arial"/>
          <w:sz w:val="24"/>
          <w:szCs w:val="24"/>
        </w:rPr>
        <w:t xml:space="preserve">la respuesta del </w:t>
      </w:r>
      <w:r w:rsidR="00E15133" w:rsidRPr="00E267F2">
        <w:rPr>
          <w:rFonts w:ascii="Palatino Linotype" w:hAnsi="Palatino Linotype" w:cs="Arial"/>
          <w:b/>
          <w:sz w:val="24"/>
          <w:szCs w:val="24"/>
        </w:rPr>
        <w:t>SUJETO OBLIGADO</w:t>
      </w:r>
      <w:r>
        <w:rPr>
          <w:rFonts w:ascii="Palatino Linotype" w:hAnsi="Palatino Linotype" w:cs="Arial"/>
          <w:sz w:val="24"/>
          <w:szCs w:val="24"/>
        </w:rPr>
        <w:t xml:space="preserve"> ordenando</w:t>
      </w:r>
      <w:r w:rsidR="00E15133" w:rsidRPr="00E267F2">
        <w:rPr>
          <w:rFonts w:ascii="Palatino Linotype" w:hAnsi="Palatino Linotype" w:cs="Arial"/>
          <w:sz w:val="24"/>
          <w:szCs w:val="24"/>
        </w:rPr>
        <w:t xml:space="preserve"> la entrega a través del SAIMEX </w:t>
      </w:r>
      <w:r>
        <w:rPr>
          <w:rFonts w:ascii="Palatino Linotype" w:hAnsi="Palatino Linotype" w:cs="Arial"/>
          <w:bCs/>
          <w:sz w:val="24"/>
          <w:szCs w:val="24"/>
        </w:rPr>
        <w:t>del</w:t>
      </w:r>
      <w:r w:rsidRPr="006D6BCA">
        <w:rPr>
          <w:rFonts w:ascii="Palatino Linotype" w:hAnsi="Palatino Linotype" w:cs="Arial"/>
          <w:bCs/>
          <w:sz w:val="24"/>
          <w:szCs w:val="24"/>
        </w:rPr>
        <w:t xml:space="preserve"> o de los documentos donde conste o de los cuales se pueda advertir lo siguiente</w:t>
      </w:r>
      <w:r w:rsidRPr="006D6BCA">
        <w:rPr>
          <w:rFonts w:ascii="Palatino Linotype" w:hAnsi="Palatino Linotype" w:cs="Arial"/>
          <w:sz w:val="24"/>
          <w:szCs w:val="24"/>
        </w:rPr>
        <w:t>:</w:t>
      </w:r>
    </w:p>
    <w:p w:rsidR="00F07A5D" w:rsidRPr="00F07A5D" w:rsidRDefault="00F07A5D" w:rsidP="00F07A5D">
      <w:pPr>
        <w:pStyle w:val="Prrafodelista"/>
        <w:numPr>
          <w:ilvl w:val="0"/>
          <w:numId w:val="3"/>
        </w:numPr>
        <w:ind w:left="1276" w:right="899"/>
        <w:contextualSpacing w:val="0"/>
        <w:jc w:val="both"/>
        <w:rPr>
          <w:rFonts w:ascii="Palatino Linotype" w:hAnsi="Palatino Linotype" w:cs="Arial"/>
          <w:i/>
          <w:sz w:val="22"/>
          <w:szCs w:val="22"/>
        </w:rPr>
      </w:pPr>
      <w:r w:rsidRPr="00F07A5D">
        <w:rPr>
          <w:rFonts w:ascii="Palatino Linotype" w:hAnsi="Palatino Linotype"/>
          <w:i/>
          <w:sz w:val="22"/>
          <w:szCs w:val="22"/>
        </w:rPr>
        <w:lastRenderedPageBreak/>
        <w:t>El número de demandas laborales interpuestas en contra del sujeto obligado en el periodo del primero al seis de noviembre de dos mil dieciocho.</w:t>
      </w:r>
    </w:p>
    <w:p w:rsidR="00F07A5D" w:rsidRPr="00F07A5D" w:rsidRDefault="00F07A5D" w:rsidP="00F07A5D">
      <w:pPr>
        <w:pStyle w:val="Prrafodelista"/>
        <w:ind w:left="1276" w:right="899"/>
        <w:contextualSpacing w:val="0"/>
        <w:jc w:val="both"/>
        <w:rPr>
          <w:rFonts w:ascii="Palatino Linotype" w:hAnsi="Palatino Linotype"/>
          <w:i/>
          <w:sz w:val="22"/>
          <w:szCs w:val="22"/>
        </w:rPr>
      </w:pPr>
    </w:p>
    <w:p w:rsidR="00F07A5D" w:rsidRPr="00F07A5D" w:rsidRDefault="00F07A5D" w:rsidP="00F07A5D">
      <w:pPr>
        <w:pStyle w:val="Prrafodelista"/>
        <w:ind w:left="1276" w:right="899"/>
        <w:contextualSpacing w:val="0"/>
        <w:jc w:val="both"/>
        <w:rPr>
          <w:rFonts w:ascii="Palatino Linotype" w:hAnsi="Palatino Linotype"/>
          <w:i/>
          <w:sz w:val="22"/>
          <w:szCs w:val="22"/>
        </w:rPr>
      </w:pPr>
      <w:r w:rsidRPr="00F07A5D">
        <w:rPr>
          <w:rFonts w:ascii="Palatino Linotype" w:hAnsi="Palatino Linotype" w:cs="Arial"/>
          <w:i/>
          <w:sz w:val="22"/>
          <w:szCs w:val="22"/>
        </w:rPr>
        <w:t xml:space="preserve">En el caso de que en el periodo referido el sujeto obligado haya tenido conocimiento de alguna demanda laboral interpuesta en su contra, se deberá hacer entrega del </w:t>
      </w:r>
      <w:r w:rsidRPr="00F07A5D">
        <w:rPr>
          <w:rFonts w:ascii="Palatino Linotype" w:hAnsi="Palatino Linotype"/>
          <w:i/>
          <w:sz w:val="22"/>
          <w:szCs w:val="22"/>
        </w:rPr>
        <w:t xml:space="preserve">acuerdo de clasificación de los expedientes que en su caso se generen, en términos de los artículos </w:t>
      </w:r>
      <w:r w:rsidRPr="00F07A5D">
        <w:rPr>
          <w:rFonts w:ascii="Palatino Linotype" w:hAnsi="Palatino Linotype" w:cs="Arial"/>
          <w:i/>
          <w:sz w:val="22"/>
          <w:szCs w:val="22"/>
        </w:rPr>
        <w:t xml:space="preserve">49 fracción VIII, 132 fracción II </w:t>
      </w:r>
      <w:r w:rsidRPr="00F07A5D">
        <w:rPr>
          <w:rFonts w:ascii="Palatino Linotype" w:hAnsi="Palatino Linotype"/>
          <w:i/>
          <w:sz w:val="22"/>
          <w:szCs w:val="22"/>
        </w:rPr>
        <w:t>de la Ley de Transparencia y Acceso a la Información Pública del Estado de México y Municipios y demás normatividad aplicable.</w:t>
      </w:r>
    </w:p>
    <w:p w:rsidR="00F07A5D" w:rsidRPr="00F07A5D" w:rsidRDefault="00F07A5D" w:rsidP="00F07A5D">
      <w:pPr>
        <w:pStyle w:val="Prrafodelista"/>
        <w:ind w:left="1276" w:right="899"/>
        <w:contextualSpacing w:val="0"/>
        <w:jc w:val="both"/>
        <w:rPr>
          <w:rFonts w:ascii="Palatino Linotype" w:hAnsi="Palatino Linotype"/>
          <w:i/>
          <w:sz w:val="22"/>
          <w:szCs w:val="22"/>
        </w:rPr>
      </w:pPr>
    </w:p>
    <w:p w:rsidR="00F07A5D" w:rsidRPr="005E3945" w:rsidRDefault="00F07A5D" w:rsidP="00F07A5D">
      <w:pPr>
        <w:pStyle w:val="Prrafodelista"/>
        <w:ind w:left="1276" w:right="899"/>
        <w:contextualSpacing w:val="0"/>
        <w:jc w:val="both"/>
        <w:rPr>
          <w:rFonts w:ascii="Palatino Linotype" w:hAnsi="Palatino Linotype"/>
        </w:rPr>
      </w:pPr>
      <w:r w:rsidRPr="00F07A5D">
        <w:rPr>
          <w:rFonts w:ascii="Palatino Linotype" w:hAnsi="Palatino Linotype"/>
          <w:i/>
          <w:sz w:val="22"/>
          <w:szCs w:val="22"/>
        </w:rPr>
        <w:t>En el caso de que en dicho periodo no se haya tenido conocimiento de alguna demanda laboral interpuesta en contra del sujeto obligado, bastará con que así lo haga del conocimiento del solicitante al momento de dar cumplimiento a la presente resolución.</w:t>
      </w:r>
    </w:p>
    <w:p w:rsidR="00B30592" w:rsidRDefault="00E15133" w:rsidP="00E15133">
      <w:pPr>
        <w:spacing w:before="100" w:beforeAutospacing="1" w:after="100" w:afterAutospacing="1" w:line="360" w:lineRule="auto"/>
        <w:jc w:val="both"/>
        <w:rPr>
          <w:rFonts w:ascii="Palatino Linotype" w:hAnsi="Palatino Linotype" w:cs="Arial"/>
          <w:sz w:val="24"/>
          <w:szCs w:val="24"/>
        </w:rPr>
      </w:pPr>
      <w:r w:rsidRPr="00E267F2">
        <w:rPr>
          <w:rFonts w:ascii="Palatino Linotype" w:hAnsi="Palatino Linotype" w:cs="Arial"/>
          <w:sz w:val="24"/>
          <w:szCs w:val="24"/>
        </w:rPr>
        <w:t xml:space="preserve">En ese sentido, la que suscribe reitera, que si bien coincide en términos generales con el sentido de la resolución en comento, difiero respecto </w:t>
      </w:r>
      <w:r w:rsidR="00B30592">
        <w:rPr>
          <w:rFonts w:ascii="Palatino Linotype" w:hAnsi="Palatino Linotype" w:cs="Arial"/>
          <w:sz w:val="24"/>
          <w:szCs w:val="24"/>
        </w:rPr>
        <w:t>a que la Ponencia Resolutora no se pronuncie tanto en estudio como en Resolutivos acerca de la totalidad de la información solicitada.</w:t>
      </w:r>
    </w:p>
    <w:p w:rsidR="00B30592" w:rsidRDefault="00E15133" w:rsidP="00B30592">
      <w:pPr>
        <w:spacing w:before="100" w:beforeAutospacing="1" w:after="100" w:afterAutospacing="1" w:line="360" w:lineRule="auto"/>
        <w:jc w:val="both"/>
        <w:rPr>
          <w:rFonts w:ascii="Palatino Linotype" w:hAnsi="Palatino Linotype"/>
          <w:sz w:val="24"/>
          <w:szCs w:val="24"/>
        </w:rPr>
      </w:pPr>
      <w:r w:rsidRPr="00E267F2">
        <w:rPr>
          <w:rFonts w:ascii="Palatino Linotype" w:hAnsi="Palatino Linotype" w:cs="Arial"/>
          <w:sz w:val="24"/>
          <w:szCs w:val="24"/>
          <w:lang w:eastAsia="es-CO"/>
        </w:rPr>
        <w:t xml:space="preserve">Lo anterior debido a que, </w:t>
      </w:r>
      <w:r w:rsidR="00B30592">
        <w:rPr>
          <w:rFonts w:ascii="Palatino Linotype" w:hAnsi="Palatino Linotype" w:cs="Arial"/>
          <w:b/>
          <w:sz w:val="24"/>
          <w:szCs w:val="24"/>
          <w:lang w:eastAsia="es-CO"/>
        </w:rPr>
        <w:t xml:space="preserve">EL RECURRENTE </w:t>
      </w:r>
      <w:r w:rsidR="00B30592">
        <w:rPr>
          <w:rFonts w:ascii="Palatino Linotype" w:hAnsi="Palatino Linotype" w:cs="Arial"/>
          <w:sz w:val="24"/>
          <w:szCs w:val="24"/>
          <w:lang w:eastAsia="es-CO"/>
        </w:rPr>
        <w:t xml:space="preserve">en su solicitud de información requirió le fuera entregado </w:t>
      </w:r>
      <w:r w:rsidR="00B30592" w:rsidRPr="00E4348E">
        <w:rPr>
          <w:rFonts w:ascii="Palatino Linotype" w:hAnsi="Palatino Linotype"/>
          <w:i/>
          <w:sz w:val="24"/>
          <w:szCs w:val="24"/>
        </w:rPr>
        <w:t>el número de demandas laborales desde el 1 de enero de 2017 al 6 de noviembre de 2018, debiendo indicar, el nombre de los demandantes, motivo, estatus actual y el monto de lo pagado en los casos que lo ameritaron</w:t>
      </w:r>
      <w:r w:rsidR="00E4348E">
        <w:rPr>
          <w:rFonts w:ascii="Palatino Linotype" w:hAnsi="Palatino Linotype"/>
          <w:sz w:val="24"/>
          <w:szCs w:val="24"/>
        </w:rPr>
        <w:t xml:space="preserve"> en respuesta </w:t>
      </w:r>
      <w:r w:rsidR="00E4348E">
        <w:rPr>
          <w:rFonts w:ascii="Palatino Linotype" w:hAnsi="Palatino Linotype"/>
          <w:b/>
          <w:sz w:val="24"/>
          <w:szCs w:val="24"/>
        </w:rPr>
        <w:t xml:space="preserve">EL SUJETO OBLIGADO </w:t>
      </w:r>
      <w:r w:rsidR="00E4348E">
        <w:rPr>
          <w:rFonts w:ascii="Palatino Linotype" w:hAnsi="Palatino Linotype"/>
          <w:sz w:val="24"/>
          <w:szCs w:val="24"/>
        </w:rPr>
        <w:t xml:space="preserve">clasificó la información como reservada, así la </w:t>
      </w:r>
      <w:r w:rsidR="00B30592">
        <w:rPr>
          <w:rFonts w:ascii="Palatino Linotype" w:hAnsi="Palatino Linotype"/>
          <w:sz w:val="24"/>
          <w:szCs w:val="24"/>
        </w:rPr>
        <w:t>Ponencia Resolutora realizó de manera genera</w:t>
      </w:r>
      <w:r w:rsidR="00DB0491">
        <w:rPr>
          <w:rFonts w:ascii="Palatino Linotype" w:hAnsi="Palatino Linotype"/>
          <w:sz w:val="24"/>
          <w:szCs w:val="24"/>
        </w:rPr>
        <w:t>l</w:t>
      </w:r>
      <w:r w:rsidR="00B30592">
        <w:rPr>
          <w:rFonts w:ascii="Palatino Linotype" w:hAnsi="Palatino Linotype"/>
          <w:sz w:val="24"/>
          <w:szCs w:val="24"/>
        </w:rPr>
        <w:t xml:space="preserve"> el análisis a la misma y en</w:t>
      </w:r>
      <w:r w:rsidR="00DB0491">
        <w:rPr>
          <w:rFonts w:ascii="Palatino Linotype" w:hAnsi="Palatino Linotype"/>
          <w:sz w:val="24"/>
          <w:szCs w:val="24"/>
        </w:rPr>
        <w:t xml:space="preserve"> Resolutivos únicamente se orde</w:t>
      </w:r>
      <w:r w:rsidR="00E4348E">
        <w:rPr>
          <w:rFonts w:ascii="Palatino Linotype" w:hAnsi="Palatino Linotype"/>
          <w:sz w:val="24"/>
          <w:szCs w:val="24"/>
        </w:rPr>
        <w:t xml:space="preserve">nó la entrega estadística de las demandas laborales interpuestas en contra del </w:t>
      </w:r>
      <w:r w:rsidR="00E4348E">
        <w:rPr>
          <w:rFonts w:ascii="Palatino Linotype" w:hAnsi="Palatino Linotype"/>
          <w:b/>
          <w:sz w:val="24"/>
          <w:szCs w:val="24"/>
        </w:rPr>
        <w:t>SUJETO OBLIGADO</w:t>
      </w:r>
      <w:r w:rsidR="00DB0491">
        <w:rPr>
          <w:rFonts w:ascii="Palatino Linotype" w:hAnsi="Palatino Linotype"/>
          <w:sz w:val="24"/>
          <w:szCs w:val="24"/>
        </w:rPr>
        <w:t>, es decir, no se analizó de manera exhaustiva la solicitud de información.</w:t>
      </w:r>
    </w:p>
    <w:p w:rsidR="00E15133" w:rsidRPr="00E267F2" w:rsidRDefault="00E4348E" w:rsidP="00E15133">
      <w:pPr>
        <w:spacing w:before="100" w:beforeAutospacing="1" w:after="100" w:afterAutospacing="1" w:line="360" w:lineRule="auto"/>
        <w:jc w:val="both"/>
        <w:rPr>
          <w:rFonts w:ascii="Palatino Linotype" w:hAnsi="Palatino Linotype" w:cs="Arial"/>
          <w:sz w:val="24"/>
          <w:szCs w:val="24"/>
          <w:lang w:eastAsia="es-CO"/>
        </w:rPr>
      </w:pPr>
      <w:r>
        <w:rPr>
          <w:rFonts w:ascii="Palatino Linotype" w:hAnsi="Palatino Linotype" w:cs="Arial"/>
          <w:sz w:val="24"/>
          <w:szCs w:val="24"/>
          <w:lang w:eastAsia="es-CO"/>
        </w:rPr>
        <w:lastRenderedPageBreak/>
        <w:t>Así, considero</w:t>
      </w:r>
      <w:r w:rsidR="00DB0491">
        <w:rPr>
          <w:rFonts w:ascii="Palatino Linotype" w:hAnsi="Palatino Linotype" w:cs="Arial"/>
          <w:sz w:val="24"/>
          <w:szCs w:val="24"/>
          <w:lang w:eastAsia="es-CO"/>
        </w:rPr>
        <w:t xml:space="preserve"> que </w:t>
      </w:r>
      <w:r w:rsidR="00E15133" w:rsidRPr="00E267F2">
        <w:rPr>
          <w:rFonts w:ascii="Palatino Linotype" w:hAnsi="Palatino Linotype" w:cs="Arial"/>
          <w:sz w:val="24"/>
          <w:szCs w:val="24"/>
          <w:lang w:eastAsia="es-CO"/>
        </w:rPr>
        <w:t>la Ponencia Resolutor</w:t>
      </w:r>
      <w:r w:rsidR="00E15133">
        <w:rPr>
          <w:rFonts w:ascii="Palatino Linotype" w:hAnsi="Palatino Linotype" w:cs="Arial"/>
          <w:sz w:val="24"/>
          <w:szCs w:val="24"/>
          <w:lang w:eastAsia="es-CO"/>
        </w:rPr>
        <w:t>a en el estudio</w:t>
      </w:r>
      <w:r w:rsidR="00E15133" w:rsidRPr="00E267F2">
        <w:rPr>
          <w:rFonts w:ascii="Palatino Linotype" w:hAnsi="Palatino Linotype" w:cs="Arial"/>
          <w:sz w:val="24"/>
          <w:szCs w:val="24"/>
          <w:lang w:eastAsia="es-CO"/>
        </w:rPr>
        <w:t xml:space="preserve"> </w:t>
      </w:r>
      <w:r w:rsidR="00DB0491">
        <w:rPr>
          <w:rFonts w:ascii="Palatino Linotype" w:hAnsi="Palatino Linotype" w:cs="Arial"/>
          <w:sz w:val="24"/>
          <w:szCs w:val="24"/>
          <w:lang w:eastAsia="es-CO"/>
        </w:rPr>
        <w:t>debió</w:t>
      </w:r>
      <w:r w:rsidR="00E15133" w:rsidRPr="00E267F2">
        <w:rPr>
          <w:rFonts w:ascii="Palatino Linotype" w:hAnsi="Palatino Linotype" w:cs="Arial"/>
          <w:sz w:val="24"/>
          <w:szCs w:val="24"/>
          <w:lang w:eastAsia="es-CO"/>
        </w:rPr>
        <w:t xml:space="preserve"> </w:t>
      </w:r>
      <w:r w:rsidR="00DB0491">
        <w:rPr>
          <w:rFonts w:ascii="Palatino Linotype" w:hAnsi="Palatino Linotype" w:cs="Arial"/>
          <w:sz w:val="24"/>
          <w:szCs w:val="24"/>
          <w:lang w:eastAsia="es-CO"/>
        </w:rPr>
        <w:t xml:space="preserve">estudiar </w:t>
      </w:r>
      <w:r w:rsidR="00E779F1">
        <w:rPr>
          <w:rFonts w:ascii="Palatino Linotype" w:hAnsi="Palatino Linotype" w:cs="Arial"/>
          <w:sz w:val="24"/>
          <w:szCs w:val="24"/>
          <w:lang w:eastAsia="es-CO"/>
        </w:rPr>
        <w:t xml:space="preserve">de la solicitud de información </w:t>
      </w:r>
      <w:r w:rsidR="00E15133" w:rsidRPr="00E267F2">
        <w:rPr>
          <w:rFonts w:ascii="Palatino Linotype" w:hAnsi="Palatino Linotype" w:cs="Arial"/>
          <w:sz w:val="24"/>
          <w:szCs w:val="24"/>
          <w:lang w:eastAsia="es-CO"/>
        </w:rPr>
        <w:t>para</w:t>
      </w:r>
      <w:r>
        <w:rPr>
          <w:rFonts w:ascii="Palatino Linotype" w:hAnsi="Palatino Linotype" w:cs="Arial"/>
          <w:sz w:val="24"/>
          <w:szCs w:val="24"/>
          <w:lang w:eastAsia="es-CO"/>
        </w:rPr>
        <w:t xml:space="preserve"> determinar su </w:t>
      </w:r>
      <w:r w:rsidR="00E15133" w:rsidRPr="00E267F2">
        <w:rPr>
          <w:rFonts w:ascii="Palatino Linotype" w:hAnsi="Palatino Linotype" w:cs="Arial"/>
          <w:sz w:val="24"/>
          <w:szCs w:val="24"/>
          <w:lang w:eastAsia="es-CO"/>
        </w:rPr>
        <w:t>entrega</w:t>
      </w:r>
      <w:r w:rsidR="008E5B32">
        <w:rPr>
          <w:rFonts w:ascii="Palatino Linotype" w:hAnsi="Palatino Linotype" w:cs="Arial"/>
          <w:sz w:val="24"/>
          <w:szCs w:val="24"/>
          <w:lang w:eastAsia="es-CO"/>
        </w:rPr>
        <w:t>,</w:t>
      </w:r>
      <w:r w:rsidR="00E803C5">
        <w:rPr>
          <w:rFonts w:ascii="Palatino Linotype" w:hAnsi="Palatino Linotype" w:cs="Arial"/>
          <w:sz w:val="24"/>
          <w:szCs w:val="24"/>
          <w:lang w:eastAsia="es-CO"/>
        </w:rPr>
        <w:t xml:space="preserve"> a fin de aplicar un criterio exhaustivo en estudio y en resolutivos, </w:t>
      </w:r>
      <w:r w:rsidR="00E779F1">
        <w:rPr>
          <w:rFonts w:ascii="Palatino Linotype" w:hAnsi="Palatino Linotype" w:cs="Arial"/>
          <w:sz w:val="24"/>
          <w:szCs w:val="24"/>
          <w:lang w:eastAsia="es-CO"/>
        </w:rPr>
        <w:t>ya que</w:t>
      </w:r>
      <w:r>
        <w:rPr>
          <w:rFonts w:ascii="Palatino Linotype" w:hAnsi="Palatino Linotype" w:cs="Arial"/>
          <w:sz w:val="24"/>
          <w:szCs w:val="24"/>
          <w:lang w:eastAsia="es-CO"/>
        </w:rPr>
        <w:t>,</w:t>
      </w:r>
      <w:r w:rsidR="00E779F1">
        <w:rPr>
          <w:rFonts w:ascii="Palatino Linotype" w:hAnsi="Palatino Linotype" w:cs="Arial"/>
          <w:sz w:val="24"/>
          <w:szCs w:val="24"/>
          <w:lang w:eastAsia="es-CO"/>
        </w:rPr>
        <w:t xml:space="preserve"> en primer término si </w:t>
      </w:r>
      <w:r w:rsidR="00E779F1" w:rsidRPr="00E267F2">
        <w:rPr>
          <w:rFonts w:ascii="Palatino Linotype" w:hAnsi="Palatino Linotype" w:cs="Arial"/>
          <w:sz w:val="24"/>
          <w:szCs w:val="24"/>
          <w:lang w:eastAsia="es-CO"/>
        </w:rPr>
        <w:t>a la fecha de presentación de la solicitud</w:t>
      </w:r>
      <w:r w:rsidR="00E779F1" w:rsidRPr="00E779F1">
        <w:rPr>
          <w:rFonts w:ascii="Palatino Linotype" w:hAnsi="Palatino Linotype" w:cs="Arial"/>
          <w:sz w:val="24"/>
          <w:szCs w:val="24"/>
          <w:lang w:eastAsia="es-CO"/>
        </w:rPr>
        <w:t xml:space="preserve"> </w:t>
      </w:r>
      <w:r w:rsidR="00E779F1">
        <w:rPr>
          <w:rFonts w:ascii="Palatino Linotype" w:hAnsi="Palatino Linotype" w:cs="Arial"/>
          <w:sz w:val="24"/>
          <w:szCs w:val="24"/>
          <w:lang w:eastAsia="es-CO"/>
        </w:rPr>
        <w:t xml:space="preserve">los laudos </w:t>
      </w:r>
      <w:r w:rsidR="00E779F1" w:rsidRPr="00E267F2">
        <w:rPr>
          <w:rFonts w:ascii="Palatino Linotype" w:hAnsi="Palatino Linotype" w:cs="Arial"/>
          <w:sz w:val="24"/>
          <w:szCs w:val="24"/>
          <w:lang w:eastAsia="es-CO"/>
        </w:rPr>
        <w:t>no hubieran causado estado</w:t>
      </w:r>
      <w:r w:rsidR="00E779F1">
        <w:rPr>
          <w:rFonts w:ascii="Palatino Linotype" w:hAnsi="Palatino Linotype" w:cs="Arial"/>
          <w:sz w:val="24"/>
          <w:szCs w:val="24"/>
          <w:lang w:eastAsia="es-CO"/>
        </w:rPr>
        <w:t xml:space="preserve">, lo procedente era que se ordenara la entrega del </w:t>
      </w:r>
      <w:r w:rsidR="00E15133" w:rsidRPr="00E267F2">
        <w:rPr>
          <w:rFonts w:ascii="Palatino Linotype" w:hAnsi="Palatino Linotype" w:cs="Arial"/>
          <w:sz w:val="24"/>
          <w:szCs w:val="24"/>
          <w:lang w:eastAsia="es-CO"/>
        </w:rPr>
        <w:t>Acuerdo de reserva de la información en términos de la Ley de la materia.</w:t>
      </w:r>
    </w:p>
    <w:p w:rsidR="00E4348E" w:rsidRDefault="008E5B32" w:rsidP="00E15133">
      <w:pPr>
        <w:spacing w:before="100" w:beforeAutospacing="1" w:after="100" w:afterAutospacing="1" w:line="360" w:lineRule="auto"/>
        <w:jc w:val="both"/>
        <w:rPr>
          <w:rFonts w:ascii="Palatino Linotype" w:hAnsi="Palatino Linotype" w:cs="Arial"/>
          <w:sz w:val="24"/>
          <w:szCs w:val="24"/>
          <w:lang w:eastAsia="es-CO"/>
        </w:rPr>
      </w:pPr>
      <w:r>
        <w:rPr>
          <w:rFonts w:ascii="Palatino Linotype" w:hAnsi="Palatino Linotype" w:cs="Arial"/>
          <w:sz w:val="24"/>
          <w:szCs w:val="24"/>
          <w:lang w:eastAsia="es-CO"/>
        </w:rPr>
        <w:t>A</w:t>
      </w:r>
      <w:r w:rsidR="00E803C5">
        <w:rPr>
          <w:rFonts w:ascii="Palatino Linotype" w:hAnsi="Palatino Linotype" w:cs="Arial"/>
          <w:sz w:val="24"/>
          <w:szCs w:val="24"/>
          <w:lang w:eastAsia="es-CO"/>
        </w:rPr>
        <w:t xml:space="preserve">hora bien, </w:t>
      </w:r>
      <w:r>
        <w:rPr>
          <w:rFonts w:ascii="Palatino Linotype" w:hAnsi="Palatino Linotype" w:cs="Arial"/>
          <w:sz w:val="24"/>
          <w:szCs w:val="24"/>
          <w:lang w:eastAsia="es-CO"/>
        </w:rPr>
        <w:t>para el caso de los laudos</w:t>
      </w:r>
      <w:r w:rsidR="00E779F1">
        <w:rPr>
          <w:rFonts w:ascii="Palatino Linotype" w:hAnsi="Palatino Linotype" w:cs="Arial"/>
          <w:sz w:val="24"/>
          <w:szCs w:val="24"/>
          <w:lang w:eastAsia="es-CO"/>
        </w:rPr>
        <w:t xml:space="preserve"> laborales</w:t>
      </w:r>
      <w:r w:rsidR="00E15133" w:rsidRPr="00E267F2">
        <w:rPr>
          <w:rFonts w:ascii="Palatino Linotype" w:hAnsi="Palatino Linotype" w:cs="Arial"/>
          <w:sz w:val="24"/>
          <w:szCs w:val="24"/>
          <w:lang w:eastAsia="es-CO"/>
        </w:rPr>
        <w:t xml:space="preserve"> </w:t>
      </w:r>
      <w:r w:rsidR="00E15133" w:rsidRPr="003C0087">
        <w:rPr>
          <w:rFonts w:ascii="Palatino Linotype" w:hAnsi="Palatino Linotype" w:cs="Arial"/>
          <w:b/>
          <w:sz w:val="24"/>
          <w:szCs w:val="24"/>
          <w:lang w:eastAsia="es-CO"/>
        </w:rPr>
        <w:t>hubieran causado estado y se condenara al SUJETO OBLIGADO a pagar al servidor público</w:t>
      </w:r>
      <w:r w:rsidR="00E15133" w:rsidRPr="00E267F2">
        <w:rPr>
          <w:rFonts w:ascii="Palatino Linotype" w:hAnsi="Palatino Linotype" w:cs="Arial"/>
          <w:sz w:val="24"/>
          <w:szCs w:val="24"/>
          <w:lang w:eastAsia="es-CO"/>
        </w:rPr>
        <w:t xml:space="preserve"> se </w:t>
      </w:r>
      <w:r w:rsidR="00E779F1">
        <w:rPr>
          <w:rFonts w:ascii="Palatino Linotype" w:hAnsi="Palatino Linotype" w:cs="Arial"/>
          <w:sz w:val="24"/>
          <w:szCs w:val="24"/>
          <w:lang w:eastAsia="es-CO"/>
        </w:rPr>
        <w:t>debió ordenar</w:t>
      </w:r>
      <w:r w:rsidR="00E15133" w:rsidRPr="00E267F2">
        <w:rPr>
          <w:rFonts w:ascii="Palatino Linotype" w:hAnsi="Palatino Linotype" w:cs="Arial"/>
          <w:sz w:val="24"/>
          <w:szCs w:val="24"/>
          <w:lang w:eastAsia="es-CO"/>
        </w:rPr>
        <w:t xml:space="preserve"> la entrega de la información en los términos en que fue solicitada</w:t>
      </w:r>
      <w:r w:rsidR="00E67C7B">
        <w:rPr>
          <w:rFonts w:ascii="Palatino Linotype" w:hAnsi="Palatino Linotype" w:cs="Arial"/>
          <w:sz w:val="24"/>
          <w:szCs w:val="24"/>
          <w:lang w:eastAsia="es-CO"/>
        </w:rPr>
        <w:t xml:space="preserve"> (número de demandas, nombre del actor, el estatus y el monto pagado)</w:t>
      </w:r>
      <w:r w:rsidR="00E4348E">
        <w:rPr>
          <w:rFonts w:ascii="Palatino Linotype" w:hAnsi="Palatino Linotype" w:cs="Arial"/>
          <w:sz w:val="24"/>
          <w:szCs w:val="24"/>
          <w:lang w:eastAsia="es-CO"/>
        </w:rPr>
        <w:t>.</w:t>
      </w:r>
    </w:p>
    <w:p w:rsidR="00E67C7B" w:rsidRPr="00E67C7B" w:rsidRDefault="00E4348E" w:rsidP="00E67C7B">
      <w:pPr>
        <w:spacing w:before="100" w:beforeAutospacing="1" w:after="100" w:afterAutospacing="1" w:line="360" w:lineRule="auto"/>
        <w:jc w:val="both"/>
        <w:rPr>
          <w:rFonts w:ascii="Palatino Linotype" w:hAnsi="Palatino Linotype" w:cs="Arial"/>
          <w:sz w:val="24"/>
          <w:szCs w:val="24"/>
          <w:lang w:eastAsia="es-CO"/>
        </w:rPr>
      </w:pPr>
      <w:r>
        <w:rPr>
          <w:rFonts w:ascii="Palatino Linotype" w:hAnsi="Palatino Linotype" w:cs="Arial"/>
          <w:sz w:val="24"/>
          <w:szCs w:val="24"/>
          <w:lang w:eastAsia="es-CO"/>
        </w:rPr>
        <w:t xml:space="preserve">Por otra parte, si </w:t>
      </w:r>
      <w:r w:rsidR="003C0087">
        <w:rPr>
          <w:rFonts w:ascii="Palatino Linotype" w:hAnsi="Palatino Linotype" w:cs="Arial"/>
          <w:sz w:val="24"/>
          <w:szCs w:val="24"/>
          <w:lang w:eastAsia="es-CO"/>
        </w:rPr>
        <w:t xml:space="preserve">los laudos laborales </w:t>
      </w:r>
      <w:r w:rsidR="00E15133" w:rsidRPr="003C0087">
        <w:rPr>
          <w:rFonts w:ascii="Palatino Linotype" w:hAnsi="Palatino Linotype" w:cs="Arial"/>
          <w:b/>
          <w:sz w:val="24"/>
          <w:szCs w:val="24"/>
          <w:lang w:eastAsia="es-CO"/>
        </w:rPr>
        <w:t>hubieran causado estado</w:t>
      </w:r>
      <w:r w:rsidR="00E15133" w:rsidRPr="00E267F2">
        <w:rPr>
          <w:rFonts w:ascii="Palatino Linotype" w:hAnsi="Palatino Linotype" w:cs="Arial"/>
          <w:sz w:val="24"/>
          <w:szCs w:val="24"/>
          <w:lang w:eastAsia="es-CO"/>
        </w:rPr>
        <w:t xml:space="preserve"> </w:t>
      </w:r>
      <w:r w:rsidR="00E15133" w:rsidRPr="003C0087">
        <w:rPr>
          <w:rFonts w:ascii="Palatino Linotype" w:hAnsi="Palatino Linotype" w:cs="Arial"/>
          <w:b/>
          <w:sz w:val="24"/>
          <w:szCs w:val="24"/>
          <w:lang w:eastAsia="es-CO"/>
        </w:rPr>
        <w:t>pero no se hubiera condenado al Ayuntamiento</w:t>
      </w:r>
      <w:r w:rsidR="00E15133" w:rsidRPr="00E267F2">
        <w:rPr>
          <w:rFonts w:ascii="Palatino Linotype" w:hAnsi="Palatino Linotype" w:cs="Arial"/>
          <w:sz w:val="24"/>
          <w:szCs w:val="24"/>
          <w:lang w:eastAsia="es-CO"/>
        </w:rPr>
        <w:t>, lo procedente sería ordenar el Acuerdo de clasificación de l</w:t>
      </w:r>
      <w:r w:rsidR="00E15133">
        <w:rPr>
          <w:rFonts w:ascii="Palatino Linotype" w:hAnsi="Palatino Linotype" w:cs="Arial"/>
          <w:sz w:val="24"/>
          <w:szCs w:val="24"/>
          <w:lang w:eastAsia="es-CO"/>
        </w:rPr>
        <w:t xml:space="preserve">a información como confidencial </w:t>
      </w:r>
      <w:r w:rsidR="00E779F1">
        <w:rPr>
          <w:rFonts w:ascii="Palatino Linotype" w:hAnsi="Palatino Linotype" w:cs="Arial"/>
          <w:sz w:val="24"/>
          <w:szCs w:val="24"/>
          <w:lang w:eastAsia="es-CO"/>
        </w:rPr>
        <w:t xml:space="preserve">de los nombres de las personas que </w:t>
      </w:r>
      <w:r w:rsidR="003C0087">
        <w:rPr>
          <w:rFonts w:ascii="Palatino Linotype" w:hAnsi="Palatino Linotype" w:cs="Arial"/>
          <w:sz w:val="24"/>
          <w:szCs w:val="24"/>
          <w:lang w:eastAsia="es-CO"/>
        </w:rPr>
        <w:t>no recibieron</w:t>
      </w:r>
      <w:r w:rsidR="00E15133">
        <w:rPr>
          <w:rFonts w:ascii="Palatino Linotype" w:hAnsi="Palatino Linotype" w:cs="Arial"/>
          <w:sz w:val="24"/>
          <w:szCs w:val="24"/>
          <w:lang w:eastAsia="es-CO"/>
        </w:rPr>
        <w:t xml:space="preserve"> recurso público alguno</w:t>
      </w:r>
      <w:r w:rsidR="00E67C7B">
        <w:rPr>
          <w:rFonts w:ascii="Palatino Linotype" w:hAnsi="Palatino Linotype" w:cs="Arial"/>
          <w:sz w:val="24"/>
          <w:szCs w:val="24"/>
          <w:lang w:eastAsia="es-CO"/>
        </w:rPr>
        <w:t xml:space="preserve"> y ordenar la entrega del estatus que guardaban dichos laudos a la fecha de la solicitud de información; ello es así, debido a que los servidores públicos que demandaron al </w:t>
      </w:r>
      <w:r w:rsidR="00E67C7B">
        <w:rPr>
          <w:rFonts w:ascii="Palatino Linotype" w:hAnsi="Palatino Linotype" w:cs="Arial"/>
          <w:b/>
          <w:sz w:val="24"/>
          <w:szCs w:val="24"/>
          <w:lang w:eastAsia="es-CO"/>
        </w:rPr>
        <w:t xml:space="preserve">SUJETO OBLIGADO  </w:t>
      </w:r>
      <w:r w:rsidR="00E67C7B">
        <w:rPr>
          <w:rFonts w:ascii="Palatino Linotype" w:hAnsi="Palatino Linotype" w:cs="Arial"/>
          <w:sz w:val="24"/>
          <w:szCs w:val="24"/>
          <w:lang w:eastAsia="es-CO"/>
        </w:rPr>
        <w:t xml:space="preserve">pero no obtuvieron un laudo favorable, obtienen la categoría de </w:t>
      </w:r>
      <w:r>
        <w:rPr>
          <w:rFonts w:ascii="Palatino Linotype" w:hAnsi="Palatino Linotype" w:cs="Arial"/>
          <w:sz w:val="24"/>
          <w:szCs w:val="24"/>
          <w:lang w:eastAsia="es-CO"/>
        </w:rPr>
        <w:t xml:space="preserve">particulares </w:t>
      </w:r>
      <w:r w:rsidR="00E67C7B">
        <w:rPr>
          <w:rFonts w:ascii="Palatino Linotype" w:hAnsi="Palatino Linotype" w:cs="Arial"/>
          <w:sz w:val="24"/>
          <w:szCs w:val="24"/>
          <w:lang w:eastAsia="es-CO"/>
        </w:rPr>
        <w:t>por lo que dar a conocer sus nombres significaría hacer públicos datos personales</w:t>
      </w:r>
      <w:r>
        <w:rPr>
          <w:rFonts w:ascii="Palatino Linotype" w:hAnsi="Palatino Linotype" w:cs="Arial"/>
          <w:sz w:val="24"/>
          <w:szCs w:val="24"/>
          <w:lang w:eastAsia="es-CO"/>
        </w:rPr>
        <w:t>.</w:t>
      </w:r>
    </w:p>
    <w:p w:rsidR="008E5B32" w:rsidRDefault="00E67C7B" w:rsidP="00E1513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En ese tenor, </w:t>
      </w:r>
      <w:r w:rsidR="00E15133" w:rsidRPr="00E267F2">
        <w:rPr>
          <w:rFonts w:ascii="Palatino Linotype" w:hAnsi="Palatino Linotype" w:cs="Arial"/>
        </w:rPr>
        <w:t xml:space="preserve">la clasificación de información como </w:t>
      </w:r>
      <w:r w:rsidR="00E15133" w:rsidRPr="00E267F2">
        <w:rPr>
          <w:rFonts w:ascii="Palatino Linotype" w:hAnsi="Palatino Linotype" w:cs="Arial"/>
          <w:b/>
        </w:rPr>
        <w:t>confidencial o reservada</w:t>
      </w:r>
      <w:r w:rsidR="00E15133" w:rsidRPr="00E267F2">
        <w:rPr>
          <w:rFonts w:ascii="Palatino Linotype" w:hAnsi="Palatino Linotype" w:cs="Arial"/>
        </w:rPr>
        <w:t xml:space="preserve">, debe efectuarse mediante las formalidades que la Ley impone, es decir, que el Comité de Transparencia del </w:t>
      </w:r>
      <w:r w:rsidR="00E15133" w:rsidRPr="00E267F2">
        <w:rPr>
          <w:rFonts w:ascii="Palatino Linotype" w:hAnsi="Palatino Linotype" w:cs="Arial"/>
          <w:b/>
        </w:rPr>
        <w:t>SUJETO OBLIGADO</w:t>
      </w:r>
      <w:r w:rsidR="00E15133" w:rsidRPr="00E267F2">
        <w:rPr>
          <w:rFonts w:ascii="Palatino Linotype" w:hAnsi="Palatino Linotype" w:cs="Arial"/>
        </w:rPr>
        <w:t xml:space="preserve"> emita un Acuerdo debidamente fundado y motivado, e</w:t>
      </w:r>
      <w:r w:rsidR="00E15133">
        <w:rPr>
          <w:rFonts w:ascii="Palatino Linotype" w:hAnsi="Palatino Linotype" w:cs="Arial"/>
        </w:rPr>
        <w:t>n el que se sustente la</w:t>
      </w:r>
      <w:r w:rsidR="00E15133" w:rsidRPr="00E267F2">
        <w:rPr>
          <w:rFonts w:ascii="Palatino Linotype" w:hAnsi="Palatino Linotype" w:cs="Arial"/>
        </w:rPr>
        <w:t xml:space="preserve"> clasificación</w:t>
      </w:r>
      <w:r w:rsidR="00E15133">
        <w:rPr>
          <w:rFonts w:ascii="Palatino Linotype" w:hAnsi="Palatino Linotype" w:cs="Arial"/>
        </w:rPr>
        <w:t xml:space="preserve"> de la información</w:t>
      </w:r>
      <w:r w:rsidR="00E15133" w:rsidRPr="00E267F2">
        <w:rPr>
          <w:rFonts w:ascii="Palatino Linotype" w:hAnsi="Palatino Linotype" w:cs="Arial"/>
        </w:rPr>
        <w:t xml:space="preserve">, en caso de </w:t>
      </w:r>
      <w:r w:rsidR="00E15133" w:rsidRPr="00E267F2">
        <w:rPr>
          <w:rFonts w:ascii="Palatino Linotype" w:hAnsi="Palatino Linotype" w:cs="Arial"/>
        </w:rPr>
        <w:lastRenderedPageBreak/>
        <w:t xml:space="preserve">actualizarse alguna hipótesis establecida en los artículos 140 y 143 de la Ley de Transparencia y Acceso a la Información Pública del Estado de México y Municipios. </w:t>
      </w:r>
    </w:p>
    <w:p w:rsidR="008E5B32" w:rsidRDefault="008E5B32" w:rsidP="00E1513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rsidR="00E15133" w:rsidRPr="00E267F2" w:rsidRDefault="00E15133" w:rsidP="00E1513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E267F2">
        <w:rPr>
          <w:rFonts w:ascii="Palatino Linotype" w:hAnsi="Palatino Linotype" w:cs="Arial"/>
        </w:rPr>
        <w:t xml:space="preserve">Asimismo, </w:t>
      </w:r>
      <w:r w:rsidRPr="00E267F2">
        <w:rPr>
          <w:rFonts w:ascii="Palatino Linotype" w:hAnsi="Palatino Linotype" w:cs="Arial"/>
          <w:b/>
        </w:rPr>
        <w:t>EL SUJETO OBLIGADO</w:t>
      </w:r>
      <w:r w:rsidRPr="00E267F2">
        <w:rPr>
          <w:rFonts w:ascii="Palatino Linotype" w:hAnsi="Palatino Linotype" w:cs="Arial"/>
        </w:rPr>
        <w:t>, a su vez, al emitir el Acuerdo de clasificación, deberá apegarse a lo establecido en los artículos 49</w:t>
      </w:r>
      <w:r w:rsidR="003C0087">
        <w:rPr>
          <w:rFonts w:ascii="Palatino Linotype" w:hAnsi="Palatino Linotype" w:cs="Arial"/>
        </w:rPr>
        <w:t>,</w:t>
      </w:r>
      <w:r w:rsidRPr="00E267F2">
        <w:rPr>
          <w:rFonts w:ascii="Palatino Linotype" w:hAnsi="Palatino Linotype" w:cs="Arial"/>
        </w:rPr>
        <w:t xml:space="preserve"> fracción VIII y 132</w:t>
      </w:r>
      <w:r w:rsidR="003C0087">
        <w:rPr>
          <w:rFonts w:ascii="Palatino Linotype" w:hAnsi="Palatino Linotype" w:cs="Arial"/>
        </w:rPr>
        <w:t>,</w:t>
      </w:r>
      <w:r w:rsidRPr="00E267F2">
        <w:rPr>
          <w:rFonts w:ascii="Palatino Linotype" w:hAnsi="Palatino Linotype" w:cs="Arial"/>
        </w:rPr>
        <w:t xml:space="preserve"> fracciones I y II de la Ley de Transparencia y Acceso a la Información Pública del Estado de México y Municipios, los numerales Cuarto al Décimo Primero de los Lineamientos Generales en materia de Clasificación y Desclasificación de la Información, así como para la elaboración de Versiones Públicas, que literalmente expresan:</w:t>
      </w:r>
    </w:p>
    <w:p w:rsidR="00E15133" w:rsidRDefault="00E15133" w:rsidP="00E15133">
      <w:pPr>
        <w:spacing w:after="0" w:line="240" w:lineRule="auto"/>
        <w:ind w:left="851" w:right="902"/>
        <w:jc w:val="center"/>
        <w:rPr>
          <w:rFonts w:ascii="Palatino Linotype" w:hAnsi="Palatino Linotype" w:cs="Arial"/>
          <w:b/>
          <w:i/>
        </w:rPr>
      </w:pPr>
      <w:r w:rsidRPr="00E267F2">
        <w:rPr>
          <w:rFonts w:ascii="Palatino Linotype" w:hAnsi="Palatino Linotype" w:cs="Arial"/>
          <w:b/>
          <w:i/>
        </w:rPr>
        <w:t>Ley de Transparencia y Acceso a la Información Pública del Estado de México y Municipios</w:t>
      </w:r>
    </w:p>
    <w:p w:rsidR="008E5B32" w:rsidRPr="00E267F2" w:rsidRDefault="008E5B32" w:rsidP="00E15133">
      <w:pPr>
        <w:spacing w:after="0" w:line="240" w:lineRule="auto"/>
        <w:ind w:left="851" w:right="902"/>
        <w:jc w:val="center"/>
        <w:rPr>
          <w:rFonts w:ascii="Palatino Linotype" w:hAnsi="Palatino Linotype" w:cs="Arial"/>
          <w:b/>
          <w:i/>
        </w:rPr>
      </w:pP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i/>
          <w:lang w:eastAsia="es-MX"/>
        </w:rPr>
        <w:t>“</w:t>
      </w:r>
      <w:r w:rsidRPr="00E267F2">
        <w:rPr>
          <w:rFonts w:ascii="Palatino Linotype" w:hAnsi="Palatino Linotype" w:cs="Arial"/>
          <w:b/>
          <w:i/>
          <w:lang w:eastAsia="es-MX"/>
        </w:rPr>
        <w:t xml:space="preserve">Artículo 49. Los </w:t>
      </w:r>
      <w:r w:rsidRPr="00E267F2">
        <w:rPr>
          <w:rFonts w:ascii="Palatino Linotype" w:hAnsi="Palatino Linotype" w:cs="Arial"/>
          <w:b/>
          <w:i/>
        </w:rPr>
        <w:t>Comités</w:t>
      </w:r>
      <w:r w:rsidRPr="00E267F2">
        <w:rPr>
          <w:rFonts w:ascii="Palatino Linotype" w:hAnsi="Palatino Linotype" w:cs="Arial"/>
          <w:b/>
          <w:i/>
          <w:lang w:eastAsia="es-MX"/>
        </w:rPr>
        <w:t xml:space="preserve"> de </w:t>
      </w:r>
      <w:r w:rsidRPr="00E267F2">
        <w:rPr>
          <w:rFonts w:ascii="Palatino Linotype" w:hAnsi="Palatino Linotype" w:cs="Arial"/>
          <w:b/>
          <w:bCs/>
          <w:i/>
          <w:noProof/>
        </w:rPr>
        <w:t>Transparencia</w:t>
      </w:r>
      <w:r w:rsidRPr="00E267F2">
        <w:rPr>
          <w:rFonts w:ascii="Palatino Linotype" w:hAnsi="Palatino Linotype" w:cs="Arial"/>
          <w:b/>
          <w:i/>
          <w:lang w:eastAsia="es-MX"/>
        </w:rPr>
        <w:t xml:space="preserve"> tendrán las siguientes atribuciones</w:t>
      </w:r>
      <w:r w:rsidRPr="00E267F2">
        <w:rPr>
          <w:rFonts w:ascii="Palatino Linotype" w:hAnsi="Palatino Linotype" w:cs="Arial"/>
          <w:i/>
          <w:lang w:eastAsia="es-MX"/>
        </w:rPr>
        <w:t>:</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VIII.</w:t>
      </w:r>
      <w:r w:rsidRPr="00E267F2">
        <w:rPr>
          <w:rFonts w:ascii="Palatino Linotype" w:hAnsi="Palatino Linotype" w:cs="Arial"/>
          <w:i/>
          <w:lang w:eastAsia="es-MX"/>
        </w:rPr>
        <w:t xml:space="preserve"> </w:t>
      </w:r>
      <w:r w:rsidRPr="00E267F2">
        <w:rPr>
          <w:rFonts w:ascii="Palatino Linotype" w:hAnsi="Palatino Linotype" w:cs="Arial"/>
          <w:b/>
          <w:i/>
          <w:lang w:eastAsia="es-MX"/>
        </w:rPr>
        <w:t>Aprobar</w:t>
      </w:r>
      <w:r w:rsidRPr="00E267F2">
        <w:rPr>
          <w:rFonts w:ascii="Palatino Linotype" w:hAnsi="Palatino Linotype" w:cs="Arial"/>
          <w:i/>
          <w:lang w:eastAsia="es-MX"/>
        </w:rPr>
        <w:t xml:space="preserve">, </w:t>
      </w:r>
      <w:r w:rsidRPr="00E267F2">
        <w:rPr>
          <w:rFonts w:ascii="Palatino Linotype" w:hAnsi="Palatino Linotype" w:cs="Arial"/>
          <w:i/>
        </w:rPr>
        <w:t>modificar</w:t>
      </w:r>
      <w:r w:rsidRPr="00E267F2">
        <w:rPr>
          <w:rFonts w:ascii="Palatino Linotype" w:hAnsi="Palatino Linotype" w:cs="Arial"/>
          <w:i/>
          <w:lang w:eastAsia="es-MX"/>
        </w:rPr>
        <w:t xml:space="preserve"> o revocar </w:t>
      </w:r>
      <w:r w:rsidRPr="00E267F2">
        <w:rPr>
          <w:rFonts w:ascii="Palatino Linotype" w:hAnsi="Palatino Linotype" w:cs="Arial"/>
          <w:b/>
          <w:i/>
          <w:lang w:eastAsia="es-MX"/>
        </w:rPr>
        <w:t>la clasificación de la información</w:t>
      </w:r>
      <w:r w:rsidRPr="00E267F2">
        <w:rPr>
          <w:rFonts w:ascii="Palatino Linotype" w:hAnsi="Palatino Linotype" w:cs="Arial"/>
          <w:i/>
          <w:lang w:eastAsia="es-MX"/>
        </w:rPr>
        <w:t>;</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Artículo 132.</w:t>
      </w:r>
      <w:r w:rsidRPr="00E267F2">
        <w:rPr>
          <w:rFonts w:ascii="Palatino Linotype" w:hAnsi="Palatino Linotype" w:cs="Arial"/>
          <w:i/>
          <w:lang w:eastAsia="es-MX"/>
        </w:rPr>
        <w:t xml:space="preserve"> </w:t>
      </w:r>
      <w:r w:rsidRPr="00E267F2">
        <w:rPr>
          <w:rFonts w:ascii="Palatino Linotype" w:hAnsi="Palatino Linotype" w:cs="Arial"/>
          <w:b/>
          <w:i/>
          <w:lang w:eastAsia="es-MX"/>
        </w:rPr>
        <w:t xml:space="preserve">La </w:t>
      </w:r>
      <w:r w:rsidRPr="00E267F2">
        <w:rPr>
          <w:rFonts w:ascii="Palatino Linotype" w:hAnsi="Palatino Linotype" w:cs="Arial"/>
          <w:b/>
          <w:bCs/>
          <w:i/>
          <w:noProof/>
        </w:rPr>
        <w:t>clasificación</w:t>
      </w:r>
      <w:r w:rsidRPr="00E267F2">
        <w:rPr>
          <w:rFonts w:ascii="Palatino Linotype" w:hAnsi="Palatino Linotype" w:cs="Arial"/>
          <w:b/>
          <w:i/>
          <w:lang w:eastAsia="es-MX"/>
        </w:rPr>
        <w:t xml:space="preserve"> de la información se llevará a cabo en el momento en que</w:t>
      </w:r>
      <w:r w:rsidRPr="00E267F2">
        <w:rPr>
          <w:rFonts w:ascii="Palatino Linotype" w:hAnsi="Palatino Linotype" w:cs="Arial"/>
          <w:i/>
          <w:lang w:eastAsia="es-MX"/>
        </w:rPr>
        <w:t>:</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i/>
          <w:lang w:eastAsia="es-MX"/>
        </w:rPr>
        <w:t>I. Se reciba una solicitud de acceso a la información;</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i/>
          <w:lang w:eastAsia="es-MX"/>
        </w:rPr>
        <w:t xml:space="preserve">II. Se determine </w:t>
      </w:r>
      <w:r w:rsidRPr="00E267F2">
        <w:rPr>
          <w:rFonts w:ascii="Palatino Linotype" w:hAnsi="Palatino Linotype" w:cs="Arial"/>
          <w:bCs/>
          <w:i/>
          <w:noProof/>
        </w:rPr>
        <w:t>mediante</w:t>
      </w:r>
      <w:r w:rsidRPr="00E267F2">
        <w:rPr>
          <w:rFonts w:ascii="Palatino Linotype" w:hAnsi="Palatino Linotype" w:cs="Arial"/>
          <w:i/>
          <w:lang w:eastAsia="es-MX"/>
        </w:rPr>
        <w:t xml:space="preserve"> resolución de autoridad competente; o </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i/>
          <w:lang w:eastAsia="es-MX"/>
        </w:rPr>
        <w:t>…”</w:t>
      </w:r>
    </w:p>
    <w:p w:rsidR="00E15133" w:rsidRDefault="00E15133" w:rsidP="00E15133">
      <w:pPr>
        <w:spacing w:after="0" w:line="240" w:lineRule="auto"/>
        <w:ind w:left="851" w:right="902"/>
        <w:jc w:val="center"/>
        <w:rPr>
          <w:rFonts w:ascii="Palatino Linotype" w:hAnsi="Palatino Linotype" w:cs="Arial"/>
          <w:b/>
          <w:i/>
        </w:rPr>
      </w:pPr>
      <w:r w:rsidRPr="00E267F2">
        <w:rPr>
          <w:rFonts w:ascii="Palatino Linotype" w:hAnsi="Palatino Linotype" w:cs="Arial"/>
          <w:b/>
          <w:i/>
        </w:rPr>
        <w:t>Lineamientos Generales en materia de Clasificación y Desclasificación de la Información, así como para la elaboración de Versiones Públicas</w:t>
      </w:r>
    </w:p>
    <w:p w:rsidR="008E5B32" w:rsidRPr="00E267F2" w:rsidRDefault="008E5B32" w:rsidP="00E15133">
      <w:pPr>
        <w:spacing w:after="0" w:line="240" w:lineRule="auto"/>
        <w:ind w:left="851" w:right="902"/>
        <w:jc w:val="center"/>
        <w:rPr>
          <w:rFonts w:ascii="Palatino Linotype" w:hAnsi="Palatino Linotype" w:cs="Arial"/>
          <w:b/>
          <w:i/>
        </w:rPr>
      </w:pP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i/>
          <w:lang w:eastAsia="es-MX"/>
        </w:rPr>
        <w:t>“</w:t>
      </w:r>
      <w:r w:rsidRPr="00E267F2">
        <w:rPr>
          <w:rFonts w:ascii="Palatino Linotype" w:hAnsi="Palatino Linotype" w:cs="Arial"/>
          <w:b/>
          <w:i/>
          <w:lang w:eastAsia="es-MX"/>
        </w:rPr>
        <w:t>Cuarto.</w:t>
      </w:r>
      <w:r w:rsidRPr="00E267F2">
        <w:rPr>
          <w:rFonts w:ascii="Palatino Linotype" w:hAnsi="Palatino Linotype" w:cs="Arial"/>
          <w:i/>
          <w:lang w:eastAsia="es-MX"/>
        </w:rPr>
        <w:t xml:space="preserve"> </w:t>
      </w:r>
      <w:r w:rsidRPr="00E267F2">
        <w:rPr>
          <w:rFonts w:ascii="Palatino Linotype" w:hAnsi="Palatino Linotype" w:cs="Arial"/>
          <w:b/>
          <w:i/>
          <w:lang w:eastAsia="es-MX"/>
        </w:rPr>
        <w:t>Para clasificar la información como reservada</w:t>
      </w:r>
      <w:r w:rsidRPr="00E267F2">
        <w:rPr>
          <w:rFonts w:ascii="Palatino Linotype" w:hAnsi="Palatino Linotype" w:cs="Arial"/>
          <w:i/>
          <w:lang w:eastAsia="es-MX"/>
        </w:rPr>
        <w:t xml:space="preserve"> o confidencial, </w:t>
      </w:r>
      <w:r w:rsidRPr="00E267F2">
        <w:rPr>
          <w:rFonts w:ascii="Palatino Linotype" w:hAnsi="Palatino Linotype" w:cs="Arial"/>
          <w:b/>
          <w:i/>
          <w:lang w:eastAsia="es-MX"/>
        </w:rPr>
        <w:t>de manera total</w:t>
      </w:r>
      <w:r w:rsidRPr="00E267F2">
        <w:rPr>
          <w:rFonts w:ascii="Palatino Linotype" w:hAnsi="Palatino Linotype" w:cs="Arial"/>
          <w:i/>
          <w:lang w:eastAsia="es-MX"/>
        </w:rPr>
        <w:t xml:space="preserve"> o parcial, el </w:t>
      </w:r>
      <w:r w:rsidRPr="00E267F2">
        <w:rPr>
          <w:rFonts w:ascii="Palatino Linotype" w:hAnsi="Palatino Linotype" w:cs="Arial"/>
          <w:b/>
          <w:i/>
          <w:lang w:eastAsia="es-MX"/>
        </w:rPr>
        <w:t xml:space="preserve">titular del </w:t>
      </w:r>
      <w:r w:rsidRPr="00E267F2">
        <w:rPr>
          <w:rFonts w:ascii="Palatino Linotype" w:hAnsi="Palatino Linotype" w:cs="Arial"/>
          <w:b/>
          <w:bCs/>
          <w:i/>
          <w:noProof/>
        </w:rPr>
        <w:t>área</w:t>
      </w:r>
      <w:r w:rsidRPr="00E267F2">
        <w:rPr>
          <w:rFonts w:ascii="Palatino Linotype" w:hAnsi="Palatino Linotype" w:cs="Arial"/>
          <w:b/>
          <w:i/>
          <w:lang w:eastAsia="es-MX"/>
        </w:rPr>
        <w:t xml:space="preserve"> del sujeto </w:t>
      </w:r>
      <w:r w:rsidRPr="00E267F2">
        <w:rPr>
          <w:rFonts w:ascii="Palatino Linotype" w:hAnsi="Palatino Linotype" w:cs="Arial"/>
          <w:b/>
          <w:i/>
        </w:rPr>
        <w:t>obligado</w:t>
      </w:r>
      <w:r w:rsidRPr="00E267F2">
        <w:rPr>
          <w:rFonts w:ascii="Palatino Linotype" w:hAnsi="Palatino Linotype" w:cs="Arial"/>
          <w:b/>
          <w:i/>
          <w:lang w:eastAsia="es-MX"/>
        </w:rPr>
        <w:t xml:space="preserve"> deberá atender lo dispuesto por el Título Sexto de la Ley General, en relación con las disposiciones contenidas en los presentes lineamientos</w:t>
      </w:r>
      <w:r w:rsidRPr="00E267F2">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i/>
          <w:lang w:eastAsia="es-MX"/>
        </w:rPr>
        <w:t xml:space="preserve">Los sujetos obligados deberán aplicar, de manera estricta, las excepciones al derecho de acceso a la </w:t>
      </w:r>
      <w:r w:rsidRPr="00E267F2">
        <w:rPr>
          <w:rFonts w:ascii="Palatino Linotype" w:hAnsi="Palatino Linotype" w:cs="Arial"/>
          <w:bCs/>
          <w:i/>
          <w:noProof/>
        </w:rPr>
        <w:t>información</w:t>
      </w:r>
      <w:r w:rsidRPr="00E267F2">
        <w:rPr>
          <w:rFonts w:ascii="Palatino Linotype" w:hAnsi="Palatino Linotype" w:cs="Arial"/>
          <w:i/>
          <w:lang w:eastAsia="es-MX"/>
        </w:rPr>
        <w:t xml:space="preserve"> y sólo </w:t>
      </w:r>
      <w:r w:rsidRPr="00E267F2">
        <w:rPr>
          <w:rFonts w:ascii="Palatino Linotype" w:hAnsi="Palatino Linotype" w:cs="Arial"/>
          <w:i/>
        </w:rPr>
        <w:t>podrán</w:t>
      </w:r>
      <w:r w:rsidRPr="00E267F2">
        <w:rPr>
          <w:rFonts w:ascii="Palatino Linotype" w:hAnsi="Palatino Linotype" w:cs="Arial"/>
          <w:i/>
          <w:lang w:eastAsia="es-MX"/>
        </w:rPr>
        <w:t xml:space="preserve"> invocarlas cuando acrediten su procedencia.</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lastRenderedPageBreak/>
        <w:t>Quinto.</w:t>
      </w:r>
      <w:r w:rsidRPr="00E267F2">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E267F2">
        <w:rPr>
          <w:rFonts w:ascii="Palatino Linotype" w:hAnsi="Palatino Linotype" w:cs="Arial"/>
          <w:i/>
        </w:rPr>
        <w:t>corresponderá</w:t>
      </w:r>
      <w:r w:rsidRPr="00E267F2">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Sexto.</w:t>
      </w:r>
      <w:r w:rsidRPr="00E267F2">
        <w:rPr>
          <w:rFonts w:ascii="Palatino Linotype" w:hAnsi="Palatino Linotype" w:cs="Arial"/>
          <w:i/>
          <w:lang w:eastAsia="es-MX"/>
        </w:rPr>
        <w:t xml:space="preserve"> Los sujetos obligados no podrán emitir acuerdos de carácter general ni particular que clasifiquen </w:t>
      </w:r>
      <w:r w:rsidRPr="00E267F2">
        <w:rPr>
          <w:rFonts w:ascii="Palatino Linotype" w:hAnsi="Palatino Linotype" w:cs="Arial"/>
          <w:bCs/>
          <w:i/>
          <w:noProof/>
        </w:rPr>
        <w:t>documentos</w:t>
      </w:r>
      <w:r w:rsidRPr="00E267F2">
        <w:rPr>
          <w:rFonts w:ascii="Palatino Linotype" w:hAnsi="Palatino Linotype" w:cs="Arial"/>
          <w:i/>
          <w:lang w:eastAsia="es-MX"/>
        </w:rPr>
        <w:t xml:space="preserve"> o expedientes como reservados, ni clasificar documentos antes de que se genere la información o cuando éstos no obren en sus archivos.</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 xml:space="preserve">La clasificación de </w:t>
      </w:r>
      <w:r w:rsidRPr="00E267F2">
        <w:rPr>
          <w:rFonts w:ascii="Palatino Linotype" w:hAnsi="Palatino Linotype" w:cs="Arial"/>
          <w:b/>
          <w:i/>
        </w:rPr>
        <w:t>información</w:t>
      </w:r>
      <w:r w:rsidRPr="00E267F2">
        <w:rPr>
          <w:rFonts w:ascii="Palatino Linotype" w:hAnsi="Palatino Linotype" w:cs="Arial"/>
          <w:b/>
          <w:i/>
          <w:lang w:eastAsia="es-MX"/>
        </w:rPr>
        <w:t xml:space="preserve"> se realizará conforme a un análisis caso por caso, mediante la aplicación </w:t>
      </w:r>
      <w:r w:rsidRPr="00E267F2">
        <w:rPr>
          <w:rFonts w:ascii="Palatino Linotype" w:hAnsi="Palatino Linotype" w:cs="Arial"/>
          <w:b/>
          <w:bCs/>
          <w:i/>
          <w:noProof/>
        </w:rPr>
        <w:t>de</w:t>
      </w:r>
      <w:r w:rsidRPr="00E267F2">
        <w:rPr>
          <w:rFonts w:ascii="Palatino Linotype" w:hAnsi="Palatino Linotype" w:cs="Arial"/>
          <w:b/>
          <w:i/>
          <w:lang w:eastAsia="es-MX"/>
        </w:rPr>
        <w:t xml:space="preserve"> la prueba de daño y de interés público</w:t>
      </w:r>
      <w:r w:rsidRPr="00E267F2">
        <w:rPr>
          <w:rFonts w:ascii="Palatino Linotype" w:hAnsi="Palatino Linotype" w:cs="Arial"/>
          <w:i/>
          <w:lang w:eastAsia="es-MX"/>
        </w:rPr>
        <w:t>.</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Séptimo.</w:t>
      </w:r>
      <w:r w:rsidRPr="00E267F2">
        <w:rPr>
          <w:rFonts w:ascii="Palatino Linotype" w:hAnsi="Palatino Linotype" w:cs="Arial"/>
          <w:i/>
          <w:lang w:eastAsia="es-MX"/>
        </w:rPr>
        <w:t xml:space="preserve"> La clasificación </w:t>
      </w:r>
      <w:r w:rsidRPr="00E267F2">
        <w:rPr>
          <w:rFonts w:ascii="Palatino Linotype" w:hAnsi="Palatino Linotype" w:cs="Arial"/>
          <w:bCs/>
          <w:i/>
          <w:noProof/>
        </w:rPr>
        <w:t>de</w:t>
      </w:r>
      <w:r w:rsidRPr="00E267F2">
        <w:rPr>
          <w:rFonts w:ascii="Palatino Linotype" w:hAnsi="Palatino Linotype" w:cs="Arial"/>
          <w:i/>
          <w:lang w:eastAsia="es-MX"/>
        </w:rPr>
        <w:t xml:space="preserve"> la </w:t>
      </w:r>
      <w:r w:rsidRPr="00E267F2">
        <w:rPr>
          <w:rFonts w:ascii="Palatino Linotype" w:hAnsi="Palatino Linotype" w:cs="Arial"/>
          <w:i/>
        </w:rPr>
        <w:t>información</w:t>
      </w:r>
      <w:r w:rsidRPr="00E267F2">
        <w:rPr>
          <w:rFonts w:ascii="Palatino Linotype" w:hAnsi="Palatino Linotype" w:cs="Arial"/>
          <w:i/>
          <w:lang w:eastAsia="es-MX"/>
        </w:rPr>
        <w:t xml:space="preserve"> se llevará a cabo en el momento en que:</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I.</w:t>
      </w:r>
      <w:r w:rsidRPr="00E267F2">
        <w:rPr>
          <w:rFonts w:ascii="Palatino Linotype" w:hAnsi="Palatino Linotype" w:cs="Arial"/>
          <w:i/>
          <w:lang w:eastAsia="es-MX"/>
        </w:rPr>
        <w:t xml:space="preserve"> Se reciba una </w:t>
      </w:r>
      <w:r w:rsidRPr="00E267F2">
        <w:rPr>
          <w:rFonts w:ascii="Palatino Linotype" w:hAnsi="Palatino Linotype" w:cs="Arial"/>
          <w:i/>
        </w:rPr>
        <w:t>solicitud</w:t>
      </w:r>
      <w:r w:rsidRPr="00E267F2">
        <w:rPr>
          <w:rFonts w:ascii="Palatino Linotype" w:hAnsi="Palatino Linotype" w:cs="Arial"/>
          <w:i/>
          <w:lang w:eastAsia="es-MX"/>
        </w:rPr>
        <w:t xml:space="preserve"> de acceso a la información;</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II.</w:t>
      </w:r>
      <w:r w:rsidRPr="00E267F2">
        <w:rPr>
          <w:rFonts w:ascii="Palatino Linotype" w:hAnsi="Palatino Linotype" w:cs="Arial"/>
          <w:i/>
          <w:lang w:eastAsia="es-MX"/>
        </w:rPr>
        <w:t xml:space="preserve"> Se determine </w:t>
      </w:r>
      <w:r w:rsidRPr="00E267F2">
        <w:rPr>
          <w:rFonts w:ascii="Palatino Linotype" w:hAnsi="Palatino Linotype" w:cs="Arial"/>
          <w:bCs/>
          <w:i/>
          <w:noProof/>
        </w:rPr>
        <w:t>mediante</w:t>
      </w:r>
      <w:r w:rsidRPr="00E267F2">
        <w:rPr>
          <w:rFonts w:ascii="Palatino Linotype" w:hAnsi="Palatino Linotype" w:cs="Arial"/>
          <w:i/>
          <w:lang w:eastAsia="es-MX"/>
        </w:rPr>
        <w:t xml:space="preserve"> resolución de autoridad competente, o</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III.</w:t>
      </w:r>
      <w:r w:rsidRPr="00E267F2">
        <w:rPr>
          <w:rFonts w:ascii="Palatino Linotype" w:hAnsi="Palatino Linotype" w:cs="Arial"/>
          <w:i/>
          <w:lang w:eastAsia="es-MX"/>
        </w:rPr>
        <w:t xml:space="preserve"> Se generen </w:t>
      </w:r>
      <w:r w:rsidRPr="00E267F2">
        <w:rPr>
          <w:rFonts w:ascii="Palatino Linotype" w:hAnsi="Palatino Linotype" w:cs="Arial"/>
          <w:bCs/>
          <w:i/>
          <w:noProof/>
        </w:rPr>
        <w:t>versiones</w:t>
      </w:r>
      <w:r w:rsidRPr="00E267F2">
        <w:rPr>
          <w:rFonts w:ascii="Palatino Linotype" w:hAnsi="Palatino Linotype" w:cs="Arial"/>
          <w:i/>
          <w:lang w:eastAsia="es-MX"/>
        </w:rPr>
        <w:t xml:space="preserve"> públicas para dar cumplimiento a las obligaciones de transparencia </w:t>
      </w:r>
      <w:r w:rsidRPr="00E267F2">
        <w:rPr>
          <w:rFonts w:ascii="Palatino Linotype" w:hAnsi="Palatino Linotype" w:cs="Arial"/>
          <w:bCs/>
          <w:i/>
          <w:noProof/>
        </w:rPr>
        <w:t>previstas</w:t>
      </w:r>
      <w:r w:rsidRPr="00E267F2">
        <w:rPr>
          <w:rFonts w:ascii="Palatino Linotype" w:hAnsi="Palatino Linotype" w:cs="Arial"/>
          <w:i/>
          <w:lang w:eastAsia="es-MX"/>
        </w:rPr>
        <w:t xml:space="preserve"> en la Ley General, la Ley Federal y las correspondientes de las entidades federativas.</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 xml:space="preserve">Los titulares de las áreas deberán revisar la clasificación al momento de la recepción de una solicitud de </w:t>
      </w:r>
      <w:r w:rsidRPr="00E267F2">
        <w:rPr>
          <w:rFonts w:ascii="Palatino Linotype" w:hAnsi="Palatino Linotype" w:cs="Arial"/>
          <w:b/>
          <w:bCs/>
          <w:i/>
          <w:noProof/>
        </w:rPr>
        <w:t>acceso</w:t>
      </w:r>
      <w:r w:rsidRPr="00E267F2">
        <w:rPr>
          <w:rFonts w:ascii="Palatino Linotype" w:hAnsi="Palatino Linotype" w:cs="Arial"/>
          <w:b/>
          <w:i/>
          <w:lang w:eastAsia="es-MX"/>
        </w:rPr>
        <w:t xml:space="preserve"> a la información, para verificar si encuadra en una causal de reserva o de confidencialidad</w:t>
      </w:r>
      <w:r w:rsidRPr="00E267F2">
        <w:rPr>
          <w:rFonts w:ascii="Palatino Linotype" w:hAnsi="Palatino Linotype" w:cs="Arial"/>
          <w:i/>
          <w:lang w:eastAsia="es-MX"/>
        </w:rPr>
        <w:t>.</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Octavo</w:t>
      </w:r>
      <w:r w:rsidRPr="00E267F2">
        <w:rPr>
          <w:rFonts w:ascii="Palatino Linotype" w:hAnsi="Palatino Linotype" w:cs="Arial"/>
          <w:i/>
          <w:lang w:eastAsia="es-MX"/>
        </w:rPr>
        <w:t xml:space="preserve">. </w:t>
      </w:r>
      <w:r w:rsidRPr="00E267F2">
        <w:rPr>
          <w:rFonts w:ascii="Palatino Linotype" w:hAnsi="Palatino Linotype" w:cs="Arial"/>
          <w:b/>
          <w:i/>
          <w:lang w:eastAsia="es-MX"/>
        </w:rPr>
        <w:t xml:space="preserve">Para fundar la clasificación de la información se debe señalar el artículo, fracción, inciso, párrafo o numeral de la ley o tratado internacional suscrito por el Estado mexicano que </w:t>
      </w:r>
      <w:r w:rsidRPr="00E267F2">
        <w:rPr>
          <w:rFonts w:ascii="Palatino Linotype" w:hAnsi="Palatino Linotype" w:cs="Arial"/>
          <w:b/>
          <w:bCs/>
          <w:i/>
          <w:noProof/>
        </w:rPr>
        <w:t>expresamente</w:t>
      </w:r>
      <w:r w:rsidRPr="00E267F2">
        <w:rPr>
          <w:rFonts w:ascii="Palatino Linotype" w:hAnsi="Palatino Linotype" w:cs="Arial"/>
          <w:b/>
          <w:i/>
          <w:lang w:eastAsia="es-MX"/>
        </w:rPr>
        <w:t xml:space="preserve"> le otorga el carácter de reservada</w:t>
      </w:r>
      <w:r w:rsidRPr="00E267F2">
        <w:rPr>
          <w:rFonts w:ascii="Palatino Linotype" w:hAnsi="Palatino Linotype" w:cs="Arial"/>
          <w:i/>
          <w:lang w:eastAsia="es-MX"/>
        </w:rPr>
        <w:t xml:space="preserve"> o confidencial.</w:t>
      </w:r>
    </w:p>
    <w:p w:rsidR="00E15133" w:rsidRPr="00E267F2" w:rsidRDefault="00E15133" w:rsidP="00E15133">
      <w:pPr>
        <w:spacing w:after="0" w:line="240" w:lineRule="auto"/>
        <w:ind w:left="851" w:right="902"/>
        <w:jc w:val="both"/>
        <w:rPr>
          <w:rFonts w:ascii="Palatino Linotype" w:hAnsi="Palatino Linotype" w:cs="Arial"/>
          <w:bCs/>
          <w:i/>
          <w:noProof/>
        </w:rPr>
      </w:pPr>
      <w:r w:rsidRPr="00E267F2">
        <w:rPr>
          <w:rFonts w:ascii="Palatino Linotype" w:hAnsi="Palatino Linotype" w:cs="Arial"/>
          <w:b/>
          <w:i/>
          <w:lang w:eastAsia="es-MX"/>
        </w:rPr>
        <w:t xml:space="preserve">Para </w:t>
      </w:r>
      <w:r w:rsidRPr="00E267F2">
        <w:rPr>
          <w:rFonts w:ascii="Palatino Linotype" w:hAnsi="Palatino Linotype" w:cs="Arial"/>
          <w:b/>
          <w:bCs/>
          <w:i/>
          <w:noProof/>
        </w:rPr>
        <w:t xml:space="preserve">motivar la clasificación se deberán señalar las razones o circunstancias especiales que lo </w:t>
      </w:r>
      <w:r w:rsidRPr="00E267F2">
        <w:rPr>
          <w:rFonts w:ascii="Palatino Linotype" w:hAnsi="Palatino Linotype" w:cs="Arial"/>
          <w:b/>
          <w:i/>
          <w:lang w:eastAsia="es-MX"/>
        </w:rPr>
        <w:t>llevaron</w:t>
      </w:r>
      <w:r w:rsidRPr="00E267F2">
        <w:rPr>
          <w:rFonts w:ascii="Palatino Linotype" w:hAnsi="Palatino Linotype" w:cs="Arial"/>
          <w:b/>
          <w:bCs/>
          <w:i/>
          <w:noProof/>
        </w:rPr>
        <w:t xml:space="preserve"> a concluir que el caso particular se ajusta al supuesto previsto por la norma legal invocada como fundamento</w:t>
      </w:r>
      <w:r w:rsidRPr="00E267F2">
        <w:rPr>
          <w:rFonts w:ascii="Palatino Linotype" w:hAnsi="Palatino Linotype" w:cs="Arial"/>
          <w:bCs/>
          <w:i/>
          <w:noProof/>
        </w:rPr>
        <w:t>.</w:t>
      </w:r>
    </w:p>
    <w:p w:rsidR="00E15133" w:rsidRPr="00E267F2" w:rsidRDefault="00E15133" w:rsidP="00E15133">
      <w:pPr>
        <w:spacing w:after="0" w:line="240" w:lineRule="auto"/>
        <w:ind w:left="851" w:right="902"/>
        <w:jc w:val="both"/>
        <w:rPr>
          <w:rFonts w:ascii="Palatino Linotype" w:hAnsi="Palatino Linotype" w:cs="Arial"/>
          <w:bCs/>
          <w:i/>
          <w:noProof/>
        </w:rPr>
      </w:pPr>
      <w:r w:rsidRPr="00E267F2">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E267F2">
        <w:rPr>
          <w:rFonts w:ascii="Palatino Linotype" w:hAnsi="Palatino Linotype" w:cs="Arial"/>
          <w:i/>
          <w:lang w:eastAsia="es-MX"/>
        </w:rPr>
        <w:t>de</w:t>
      </w:r>
      <w:r w:rsidRPr="00E267F2">
        <w:rPr>
          <w:rFonts w:ascii="Palatino Linotype" w:hAnsi="Palatino Linotype" w:cs="Arial"/>
          <w:bCs/>
          <w:i/>
          <w:noProof/>
        </w:rPr>
        <w:t xml:space="preserve"> </w:t>
      </w:r>
      <w:r w:rsidRPr="00E267F2">
        <w:rPr>
          <w:rFonts w:ascii="Palatino Linotype" w:hAnsi="Palatino Linotype" w:cs="Arial"/>
          <w:i/>
          <w:lang w:eastAsia="es-MX"/>
        </w:rPr>
        <w:t>reserva</w:t>
      </w:r>
      <w:r w:rsidRPr="00E267F2">
        <w:rPr>
          <w:rFonts w:ascii="Palatino Linotype" w:hAnsi="Palatino Linotype" w:cs="Arial"/>
          <w:bCs/>
          <w:i/>
          <w:noProof/>
        </w:rPr>
        <w:t>.</w:t>
      </w:r>
    </w:p>
    <w:p w:rsidR="00E15133" w:rsidRPr="00E267F2" w:rsidRDefault="00E15133" w:rsidP="00E15133">
      <w:pPr>
        <w:spacing w:after="0" w:line="240" w:lineRule="auto"/>
        <w:ind w:left="851" w:right="902"/>
        <w:jc w:val="both"/>
        <w:rPr>
          <w:rFonts w:ascii="Palatino Linotype" w:hAnsi="Palatino Linotype" w:cs="Arial"/>
          <w:bCs/>
          <w:i/>
          <w:noProof/>
        </w:rPr>
      </w:pPr>
      <w:r w:rsidRPr="00E267F2">
        <w:rPr>
          <w:rFonts w:ascii="Palatino Linotype" w:hAnsi="Palatino Linotype" w:cs="Arial"/>
          <w:i/>
          <w:lang w:eastAsia="es-MX"/>
        </w:rPr>
        <w:t>Tratándose</w:t>
      </w:r>
      <w:r w:rsidRPr="00E267F2">
        <w:rPr>
          <w:rFonts w:ascii="Palatino Linotype" w:hAnsi="Palatino Linotype" w:cs="Arial"/>
          <w:bCs/>
          <w:i/>
          <w:noProof/>
        </w:rPr>
        <w:t xml:space="preserve"> de información clasificada como confidencial respecto de la cual se haya determinado </w:t>
      </w:r>
      <w:r w:rsidRPr="00E267F2">
        <w:rPr>
          <w:rFonts w:ascii="Palatino Linotype" w:hAnsi="Palatino Linotype" w:cs="Arial"/>
          <w:i/>
          <w:lang w:eastAsia="es-MX"/>
        </w:rPr>
        <w:t>su</w:t>
      </w:r>
      <w:r w:rsidRPr="00E267F2">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Cs/>
          <w:i/>
          <w:noProof/>
        </w:rPr>
        <w:t>Los documentos contenidos</w:t>
      </w:r>
      <w:r w:rsidRPr="00E267F2">
        <w:rPr>
          <w:rFonts w:ascii="Palatino Linotype" w:hAnsi="Palatino Linotype" w:cs="Arial"/>
          <w:i/>
          <w:lang w:eastAsia="es-MX"/>
        </w:rPr>
        <w:t xml:space="preserve"> en los archivos históricos y los identificados como históricos confidenciales no serán susceptibles de clasificación como reservados.</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lastRenderedPageBreak/>
        <w:t>Noveno.</w:t>
      </w:r>
      <w:r w:rsidRPr="00E267F2">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Décimo.</w:t>
      </w:r>
      <w:r w:rsidRPr="00E267F2">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E267F2">
        <w:rPr>
          <w:rFonts w:ascii="Palatino Linotype" w:hAnsi="Palatino Linotype" w:cs="Arial"/>
          <w:i/>
        </w:rPr>
        <w:t>documentos</w:t>
      </w:r>
      <w:r w:rsidRPr="00E267F2">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E267F2">
        <w:rPr>
          <w:rFonts w:ascii="Palatino Linotype" w:hAnsi="Palatino Linotype" w:cs="Arial"/>
          <w:i/>
        </w:rPr>
        <w:t>que</w:t>
      </w:r>
      <w:r w:rsidRPr="00E267F2">
        <w:rPr>
          <w:rFonts w:ascii="Palatino Linotype" w:hAnsi="Palatino Linotype" w:cs="Arial"/>
          <w:i/>
          <w:lang w:eastAsia="es-MX"/>
        </w:rPr>
        <w:t xml:space="preserve"> rija la actuación del sujeto obligado.</w:t>
      </w:r>
    </w:p>
    <w:p w:rsidR="00E15133" w:rsidRPr="00E267F2" w:rsidRDefault="00E15133" w:rsidP="00E15133">
      <w:pPr>
        <w:spacing w:after="0" w:line="240" w:lineRule="auto"/>
        <w:ind w:left="851" w:right="902"/>
        <w:jc w:val="both"/>
        <w:rPr>
          <w:rFonts w:ascii="Palatino Linotype" w:hAnsi="Palatino Linotype" w:cs="Arial"/>
          <w:i/>
          <w:lang w:eastAsia="es-MX"/>
        </w:rPr>
      </w:pPr>
      <w:r w:rsidRPr="00E267F2">
        <w:rPr>
          <w:rFonts w:ascii="Palatino Linotype" w:hAnsi="Palatino Linotype" w:cs="Arial"/>
          <w:b/>
          <w:i/>
          <w:lang w:eastAsia="es-MX"/>
        </w:rPr>
        <w:t>Décimo primero.</w:t>
      </w:r>
      <w:r w:rsidRPr="00E267F2">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15133" w:rsidRPr="00E267F2" w:rsidRDefault="00E15133" w:rsidP="00E15133">
      <w:pPr>
        <w:spacing w:after="0" w:line="240" w:lineRule="auto"/>
        <w:ind w:left="851" w:right="902"/>
        <w:jc w:val="both"/>
        <w:rPr>
          <w:rFonts w:ascii="Palatino Linotype" w:hAnsi="Palatino Linotype" w:cs="Arial"/>
          <w:lang w:eastAsia="es-MX"/>
        </w:rPr>
      </w:pPr>
      <w:r w:rsidRPr="00E267F2">
        <w:rPr>
          <w:rFonts w:ascii="Palatino Linotype" w:hAnsi="Palatino Linotype" w:cs="Arial"/>
          <w:lang w:eastAsia="es-MX"/>
        </w:rPr>
        <w:t>(Énfasis Añadido)</w:t>
      </w:r>
    </w:p>
    <w:p w:rsidR="00E15133" w:rsidRPr="00BF3FFC" w:rsidRDefault="00E15133" w:rsidP="00E15133">
      <w:pPr>
        <w:spacing w:before="100" w:beforeAutospacing="1" w:after="100" w:afterAutospacing="1" w:line="360" w:lineRule="auto"/>
        <w:jc w:val="both"/>
        <w:rPr>
          <w:rFonts w:ascii="Palatino Linotype" w:hAnsi="Palatino Linotype" w:cs="Arial"/>
          <w:sz w:val="24"/>
          <w:szCs w:val="24"/>
        </w:rPr>
      </w:pPr>
      <w:r w:rsidRPr="00BF3FFC">
        <w:rPr>
          <w:rFonts w:ascii="Palatino Linotype" w:hAnsi="Palatino Linotype" w:cs="Arial"/>
          <w:sz w:val="24"/>
          <w:szCs w:val="24"/>
        </w:rPr>
        <w:t>Por lo tanto,</w:t>
      </w:r>
      <w:r w:rsidRPr="00BF3FFC">
        <w:rPr>
          <w:rFonts w:ascii="Palatino Linotype" w:hAnsi="Palatino Linotype"/>
          <w:sz w:val="24"/>
          <w:szCs w:val="24"/>
        </w:rPr>
        <w:t xml:space="preserve"> es importante referir que </w:t>
      </w:r>
      <w:r w:rsidRPr="00BF3FFC">
        <w:rPr>
          <w:rFonts w:ascii="Palatino Linotype" w:hAnsi="Palatino Linotype"/>
          <w:b/>
          <w:sz w:val="24"/>
          <w:szCs w:val="24"/>
        </w:rPr>
        <w:t>EL SUJETO OBLIGADO</w:t>
      </w:r>
      <w:r w:rsidRPr="00BF3FFC">
        <w:rPr>
          <w:rFonts w:ascii="Palatino Linotype" w:hAnsi="Palatino Linotype"/>
          <w:sz w:val="24"/>
          <w:szCs w:val="24"/>
        </w:rPr>
        <w:t xml:space="preserve"> debe seguir el procedimiento legal establecido para su </w:t>
      </w:r>
      <w:r w:rsidRPr="00BF3FFC">
        <w:rPr>
          <w:rFonts w:ascii="Palatino Linotype" w:hAnsi="Palatino Linotype"/>
          <w:sz w:val="24"/>
          <w:szCs w:val="24"/>
          <w:lang w:eastAsia="es-MX"/>
        </w:rPr>
        <w:t>clasificación</w:t>
      </w:r>
      <w:r w:rsidRPr="00BF3FFC">
        <w:rPr>
          <w:rFonts w:ascii="Palatino Linotype" w:hAnsi="Palatino Linotype"/>
          <w:sz w:val="24"/>
          <w:szCs w:val="24"/>
        </w:rPr>
        <w:t>, esto es, que su Comité de</w:t>
      </w:r>
      <w:r w:rsidRPr="00BF3FFC">
        <w:rPr>
          <w:rFonts w:ascii="Palatino Linotype" w:hAnsi="Palatino Linotype" w:cs="Arial"/>
          <w:sz w:val="24"/>
          <w:szCs w:val="24"/>
        </w:rPr>
        <w:t xml:space="preserve"> Transparencia haya emitido un Acuerdo de Clasificación que cumpla con las formalidades previstas antes citadas</w:t>
      </w:r>
      <w:r w:rsidRPr="00BF3FFC">
        <w:rPr>
          <w:rFonts w:ascii="Palatino Linotype" w:hAnsi="Palatino Linotype" w:cs="Arial"/>
          <w:b/>
          <w:sz w:val="24"/>
          <w:szCs w:val="24"/>
        </w:rPr>
        <w:t xml:space="preserve"> </w:t>
      </w:r>
      <w:r w:rsidRPr="00BF3FFC">
        <w:rPr>
          <w:rFonts w:ascii="Palatino Linotype" w:hAnsi="Palatino Linotype" w:cs="Arial"/>
          <w:sz w:val="24"/>
          <w:szCs w:val="24"/>
        </w:rPr>
        <w:t xml:space="preserve">que la sustente, en el </w:t>
      </w:r>
      <w:r w:rsidRPr="00BF3FFC">
        <w:rPr>
          <w:rFonts w:ascii="Palatino Linotype" w:hAnsi="Palatino Linotype" w:cs="Arial"/>
          <w:sz w:val="24"/>
          <w:szCs w:val="24"/>
          <w:lang w:eastAsia="es-MX"/>
        </w:rPr>
        <w:t>que</w:t>
      </w:r>
      <w:r w:rsidRPr="00BF3FFC">
        <w:rPr>
          <w:rFonts w:ascii="Palatino Linotype" w:hAnsi="Palatino Linotype" w:cs="Arial"/>
          <w:sz w:val="24"/>
          <w:szCs w:val="24"/>
        </w:rPr>
        <w:t xml:space="preserve"> se expongan los fundamentos y razones que llevaron a la autoridad a su clasificación como confidencial o reservada, pues de no señalarse dejaría al particular en estado de incertidumbre, al no conocer o comprender los motivos de su reserva temporal, violentando el derecho de acceso a la información del solicitante.</w:t>
      </w:r>
    </w:p>
    <w:p w:rsidR="00E15133" w:rsidRPr="00BF3FFC" w:rsidRDefault="00E15133" w:rsidP="00E15133">
      <w:pPr>
        <w:spacing w:before="100" w:beforeAutospacing="1" w:after="100" w:afterAutospacing="1" w:line="360" w:lineRule="auto"/>
        <w:jc w:val="both"/>
        <w:rPr>
          <w:rFonts w:ascii="Palatino Linotype" w:hAnsi="Palatino Linotype"/>
          <w:sz w:val="24"/>
          <w:szCs w:val="24"/>
        </w:rPr>
      </w:pPr>
      <w:r w:rsidRPr="00BF3FFC">
        <w:rPr>
          <w:rFonts w:ascii="Palatino Linotype" w:hAnsi="Palatino Linotype" w:cs="Arial"/>
          <w:sz w:val="24"/>
          <w:szCs w:val="24"/>
        </w:rPr>
        <w:t xml:space="preserve">En adición a lo anterior, </w:t>
      </w:r>
      <w:r w:rsidRPr="00BF3FFC">
        <w:rPr>
          <w:rFonts w:ascii="Palatino Linotype" w:hAnsi="Palatino Linotype" w:cs="Arial"/>
          <w:b/>
          <w:sz w:val="24"/>
          <w:szCs w:val="24"/>
        </w:rPr>
        <w:t>de ser el caso</w:t>
      </w:r>
      <w:r w:rsidRPr="00BF3FFC">
        <w:rPr>
          <w:rFonts w:ascii="Palatino Linotype" w:hAnsi="Palatino Linotype" w:cs="Arial"/>
          <w:sz w:val="24"/>
          <w:szCs w:val="24"/>
        </w:rPr>
        <w:t xml:space="preserve">, en el Acuerdo de Clasificación deberá constar la realización de la </w:t>
      </w:r>
      <w:r w:rsidRPr="00BF3FFC">
        <w:rPr>
          <w:rFonts w:ascii="Palatino Linotype" w:hAnsi="Palatino Linotype" w:cs="Arial"/>
          <w:b/>
          <w:sz w:val="24"/>
          <w:szCs w:val="24"/>
        </w:rPr>
        <w:t>prueba de daño</w:t>
      </w:r>
      <w:r w:rsidRPr="00BF3FFC">
        <w:rPr>
          <w:rFonts w:ascii="Palatino Linotype" w:hAnsi="Palatino Linotype" w:cs="Arial"/>
          <w:sz w:val="24"/>
          <w:szCs w:val="24"/>
        </w:rPr>
        <w:t xml:space="preserve">, </w:t>
      </w:r>
      <w:r w:rsidRPr="00BF3FFC">
        <w:rPr>
          <w:rFonts w:ascii="Palatino Linotype" w:hAnsi="Palatino Linotype"/>
          <w:sz w:val="24"/>
          <w:szCs w:val="24"/>
        </w:rPr>
        <w:t xml:space="preserve">en la que se justifiquen las razones, motivos y </w:t>
      </w:r>
      <w:r w:rsidRPr="00BF3FFC">
        <w:rPr>
          <w:rFonts w:ascii="Palatino Linotype" w:hAnsi="Palatino Linotype"/>
          <w:sz w:val="24"/>
          <w:szCs w:val="24"/>
        </w:rPr>
        <w:lastRenderedPageBreak/>
        <w:t xml:space="preserve">circunstancias que avalen que la divulgación de la información representa un </w:t>
      </w:r>
      <w:r w:rsidRPr="00BF3FFC">
        <w:rPr>
          <w:rFonts w:ascii="Palatino Linotype" w:hAnsi="Palatino Linotype"/>
          <w:b/>
          <w:sz w:val="24"/>
          <w:szCs w:val="24"/>
        </w:rPr>
        <w:t>riesgo real, demostrable e identificable</w:t>
      </w:r>
      <w:r w:rsidRPr="00BF3FFC">
        <w:rPr>
          <w:rFonts w:ascii="Palatino Linotype" w:hAnsi="Palatino Linotype"/>
          <w:sz w:val="24"/>
          <w:szCs w:val="24"/>
        </w:rPr>
        <w:t xml:space="preserve"> de perjuicio significativo al interés público; que el riesgo de perjuicio que supondría la divulgación supera el interés público general de </w:t>
      </w:r>
      <w:r w:rsidRPr="00BF3FFC">
        <w:rPr>
          <w:rFonts w:ascii="Palatino Linotype" w:hAnsi="Palatino Linotype" w:cs="Arial"/>
          <w:sz w:val="24"/>
          <w:szCs w:val="24"/>
        </w:rPr>
        <w:t>que</w:t>
      </w:r>
      <w:r w:rsidRPr="00BF3FFC">
        <w:rPr>
          <w:rFonts w:ascii="Palatino Linotype" w:hAnsi="Palatino Linotype"/>
          <w:sz w:val="24"/>
          <w:szCs w:val="24"/>
        </w:rPr>
        <w:t xml:space="preserve"> se difunda, y que la limitación se adecúa al principio de proporcionalidad y representa el medio menos restrictivo disponible para evitar el perjuicio. En ese tenor, los artículos 114 de la Ley General de Transparencia y Acceso a la Información Pública, 128 y 129 de la Ley de Transparencia y Acceso a la Información Pública del Estado de México y Municipios, los cuales se transcriben a </w:t>
      </w:r>
      <w:r w:rsidRPr="00BF3FFC">
        <w:rPr>
          <w:rFonts w:ascii="Palatino Linotype" w:hAnsi="Palatino Linotype" w:cs="Arial"/>
          <w:sz w:val="24"/>
          <w:szCs w:val="24"/>
        </w:rPr>
        <w:t>continuación</w:t>
      </w:r>
      <w:r w:rsidRPr="00BF3FFC">
        <w:rPr>
          <w:rFonts w:ascii="Palatino Linotype" w:hAnsi="Palatino Linotype"/>
          <w:sz w:val="24"/>
          <w:szCs w:val="24"/>
        </w:rPr>
        <w:t xml:space="preserve"> para mejor ilustración:</w:t>
      </w:r>
    </w:p>
    <w:p w:rsidR="00E15133" w:rsidRDefault="00E15133" w:rsidP="00E15133">
      <w:pPr>
        <w:tabs>
          <w:tab w:val="left" w:pos="7938"/>
        </w:tabs>
        <w:spacing w:after="0" w:line="240" w:lineRule="auto"/>
        <w:ind w:left="851" w:right="1185"/>
        <w:jc w:val="center"/>
        <w:rPr>
          <w:rFonts w:ascii="Palatino Linotype" w:hAnsi="Palatino Linotype" w:cs="Arial"/>
          <w:b/>
          <w:bCs/>
          <w:i/>
        </w:rPr>
      </w:pPr>
      <w:r w:rsidRPr="00E267F2">
        <w:rPr>
          <w:rFonts w:ascii="Palatino Linotype" w:hAnsi="Palatino Linotype" w:cs="Arial"/>
          <w:b/>
          <w:bCs/>
          <w:i/>
        </w:rPr>
        <w:t>Ley General de Transparencia y Acceso a la Información Pública</w:t>
      </w:r>
    </w:p>
    <w:p w:rsidR="008E5B32" w:rsidRPr="00E267F2" w:rsidRDefault="008E5B32" w:rsidP="00E15133">
      <w:pPr>
        <w:tabs>
          <w:tab w:val="left" w:pos="7938"/>
        </w:tabs>
        <w:spacing w:after="0" w:line="240" w:lineRule="auto"/>
        <w:ind w:left="851" w:right="1185"/>
        <w:jc w:val="center"/>
        <w:rPr>
          <w:rFonts w:ascii="Palatino Linotype" w:hAnsi="Palatino Linotype" w:cs="Arial"/>
          <w:b/>
          <w:bCs/>
          <w:i/>
        </w:rPr>
      </w:pPr>
    </w:p>
    <w:p w:rsidR="00E15133" w:rsidRDefault="00E15133" w:rsidP="00E15133">
      <w:pPr>
        <w:tabs>
          <w:tab w:val="left" w:pos="7938"/>
        </w:tabs>
        <w:spacing w:after="0" w:line="240" w:lineRule="auto"/>
        <w:ind w:left="851" w:right="1185"/>
        <w:jc w:val="both"/>
        <w:rPr>
          <w:rFonts w:ascii="Palatino Linotype" w:hAnsi="Palatino Linotype" w:cs="Arial"/>
          <w:bCs/>
          <w:i/>
        </w:rPr>
      </w:pPr>
      <w:r w:rsidRPr="00E267F2">
        <w:rPr>
          <w:rFonts w:ascii="Palatino Linotype" w:hAnsi="Palatino Linotype" w:cs="Arial"/>
          <w:b/>
          <w:bCs/>
          <w:i/>
        </w:rPr>
        <w:t>Artículo 114</w:t>
      </w:r>
      <w:r w:rsidRPr="00E267F2">
        <w:rPr>
          <w:rFonts w:ascii="Palatino Linotype" w:hAnsi="Palatino Linotype" w:cs="Arial"/>
          <w:bCs/>
          <w:i/>
        </w:rPr>
        <w:t xml:space="preserve">. </w:t>
      </w:r>
      <w:r w:rsidRPr="00E267F2">
        <w:rPr>
          <w:rFonts w:ascii="Palatino Linotype" w:hAnsi="Palatino Linotype" w:cs="Arial"/>
          <w:b/>
          <w:bCs/>
          <w:i/>
        </w:rPr>
        <w:t>Las causales de reserva previstas en el artículo anterior se deberán fundar y motivar, a través de la aplicación de la prueba de daño</w:t>
      </w:r>
      <w:r w:rsidRPr="00E267F2">
        <w:rPr>
          <w:rFonts w:ascii="Palatino Linotype" w:hAnsi="Palatino Linotype" w:cs="Arial"/>
          <w:bCs/>
          <w:i/>
        </w:rPr>
        <w:t xml:space="preserve"> a la que se hace referencia en el presente Título.</w:t>
      </w:r>
    </w:p>
    <w:p w:rsidR="008E5B32" w:rsidRPr="00E267F2" w:rsidRDefault="008E5B32" w:rsidP="00E15133">
      <w:pPr>
        <w:tabs>
          <w:tab w:val="left" w:pos="7938"/>
        </w:tabs>
        <w:spacing w:after="0" w:line="240" w:lineRule="auto"/>
        <w:ind w:left="851" w:right="1185"/>
        <w:jc w:val="both"/>
        <w:rPr>
          <w:rFonts w:ascii="Palatino Linotype" w:hAnsi="Palatino Linotype" w:cs="Arial"/>
          <w:bCs/>
          <w:i/>
        </w:rPr>
      </w:pPr>
    </w:p>
    <w:p w:rsidR="00E15133" w:rsidRDefault="00E15133" w:rsidP="00E15133">
      <w:pPr>
        <w:tabs>
          <w:tab w:val="left" w:pos="7938"/>
        </w:tabs>
        <w:spacing w:after="0" w:line="240" w:lineRule="auto"/>
        <w:ind w:left="851" w:right="1185"/>
        <w:jc w:val="center"/>
        <w:rPr>
          <w:rFonts w:ascii="Palatino Linotype" w:hAnsi="Palatino Linotype" w:cs="Arial"/>
          <w:b/>
          <w:bCs/>
          <w:i/>
        </w:rPr>
      </w:pPr>
      <w:r w:rsidRPr="00E267F2">
        <w:rPr>
          <w:rFonts w:ascii="Palatino Linotype" w:hAnsi="Palatino Linotype" w:cs="Arial"/>
          <w:b/>
          <w:bCs/>
          <w:i/>
        </w:rPr>
        <w:t>Ley de Transparencia y Acceso a la Información Pública del Estado de México y Municipios</w:t>
      </w:r>
    </w:p>
    <w:p w:rsidR="008E5B32" w:rsidRPr="00E267F2" w:rsidRDefault="008E5B32" w:rsidP="00E15133">
      <w:pPr>
        <w:tabs>
          <w:tab w:val="left" w:pos="7938"/>
        </w:tabs>
        <w:spacing w:after="0" w:line="240" w:lineRule="auto"/>
        <w:ind w:left="851" w:right="1185"/>
        <w:jc w:val="center"/>
        <w:rPr>
          <w:rFonts w:ascii="Palatino Linotype" w:hAnsi="Palatino Linotype" w:cs="Arial"/>
          <w:b/>
          <w:bCs/>
          <w:i/>
        </w:rPr>
      </w:pPr>
    </w:p>
    <w:p w:rsidR="00E15133" w:rsidRPr="00E267F2" w:rsidRDefault="00E15133" w:rsidP="00E15133">
      <w:pPr>
        <w:tabs>
          <w:tab w:val="left" w:pos="7938"/>
        </w:tabs>
        <w:spacing w:after="0" w:line="240" w:lineRule="auto"/>
        <w:ind w:left="851" w:right="1185"/>
        <w:jc w:val="both"/>
        <w:rPr>
          <w:rFonts w:ascii="Palatino Linotype" w:hAnsi="Palatino Linotype" w:cs="Arial"/>
          <w:bCs/>
          <w:i/>
        </w:rPr>
      </w:pPr>
      <w:r w:rsidRPr="00E267F2">
        <w:rPr>
          <w:rFonts w:ascii="Palatino Linotype" w:hAnsi="Palatino Linotype" w:cs="Arial"/>
          <w:b/>
          <w:bCs/>
          <w:i/>
        </w:rPr>
        <w:t>Artículo 128</w:t>
      </w:r>
      <w:r w:rsidRPr="00E267F2">
        <w:rPr>
          <w:rFonts w:ascii="Palatino Linotype" w:hAnsi="Palatino Linotype" w:cs="Arial"/>
          <w:bCs/>
          <w:i/>
        </w:rPr>
        <w:t xml:space="preserve">. En los casos en que se niegue el acceso a la información, por actualizarse alguno de los supuestos de clasificación, el Comité de Transparencia deberá confirmar, modificar o revocar la decisión. </w:t>
      </w:r>
    </w:p>
    <w:p w:rsidR="00E15133" w:rsidRPr="00E267F2" w:rsidRDefault="00E15133" w:rsidP="00E15133">
      <w:pPr>
        <w:tabs>
          <w:tab w:val="left" w:pos="7938"/>
        </w:tabs>
        <w:spacing w:after="0" w:line="240" w:lineRule="auto"/>
        <w:ind w:left="851" w:right="1185"/>
        <w:jc w:val="both"/>
        <w:rPr>
          <w:rFonts w:ascii="Palatino Linotype" w:hAnsi="Palatino Linotype" w:cs="Arial"/>
          <w:bCs/>
          <w:i/>
        </w:rPr>
      </w:pPr>
      <w:r w:rsidRPr="00E267F2">
        <w:rPr>
          <w:rFonts w:ascii="Palatino Linotype" w:hAnsi="Palatino Linotype" w:cs="Arial"/>
          <w:b/>
          <w:bCs/>
          <w:i/>
        </w:rPr>
        <w:t>Para motivar la clasificación de la información</w:t>
      </w:r>
      <w:r w:rsidRPr="00E267F2">
        <w:rPr>
          <w:rFonts w:ascii="Palatino Linotype" w:hAnsi="Palatino Linotype" w:cs="Arial"/>
          <w:bCs/>
          <w:i/>
        </w:rPr>
        <w:t xml:space="preserve"> y la ampliación del plazo de reserva, </w:t>
      </w:r>
      <w:r w:rsidRPr="00E267F2">
        <w:rPr>
          <w:rFonts w:ascii="Palatino Linotype" w:hAnsi="Palatino Linotype" w:cs="Arial"/>
          <w:b/>
          <w:bCs/>
          <w:i/>
        </w:rPr>
        <w:t>se deberán señalar las razones, motivos o circunstancias especiales que llevaron al sujeto obligado a concluir que el caso particular se ajusta al supuesto previsto por la norma legal invocada</w:t>
      </w:r>
      <w:r w:rsidRPr="00E267F2">
        <w:rPr>
          <w:rFonts w:ascii="Palatino Linotype" w:hAnsi="Palatino Linotype" w:cs="Arial"/>
          <w:bCs/>
          <w:i/>
        </w:rPr>
        <w:t xml:space="preserve"> como fundamento. Además, </w:t>
      </w:r>
      <w:r w:rsidRPr="00E267F2">
        <w:rPr>
          <w:rFonts w:ascii="Palatino Linotype" w:hAnsi="Palatino Linotype" w:cs="Arial"/>
          <w:b/>
          <w:bCs/>
          <w:i/>
        </w:rPr>
        <w:t>el sujeto obligado deberá, en todo momento, aplicar una prueba de daño</w:t>
      </w:r>
      <w:r w:rsidRPr="00E267F2">
        <w:rPr>
          <w:rFonts w:ascii="Palatino Linotype" w:hAnsi="Palatino Linotype" w:cs="Arial"/>
          <w:bCs/>
          <w:i/>
        </w:rPr>
        <w:t xml:space="preserve">. </w:t>
      </w:r>
    </w:p>
    <w:p w:rsidR="00E15133" w:rsidRPr="00E267F2" w:rsidRDefault="00E15133" w:rsidP="00E15133">
      <w:pPr>
        <w:tabs>
          <w:tab w:val="left" w:pos="7938"/>
        </w:tabs>
        <w:spacing w:after="0" w:line="240" w:lineRule="auto"/>
        <w:ind w:left="851" w:right="1185"/>
        <w:jc w:val="both"/>
        <w:rPr>
          <w:rFonts w:ascii="Palatino Linotype" w:hAnsi="Palatino Linotype" w:cs="Arial"/>
          <w:bCs/>
          <w:i/>
        </w:rPr>
      </w:pPr>
      <w:r w:rsidRPr="00E267F2">
        <w:rPr>
          <w:rFonts w:ascii="Palatino Linotype" w:hAnsi="Palatino Linotype" w:cs="Arial"/>
          <w:bCs/>
          <w:i/>
        </w:rPr>
        <w:t xml:space="preserve">Tratándose de aquélla información que actualice los supuestos de clasificación, deberá señalarse el plazo al que estará sujeto la reserva. </w:t>
      </w:r>
    </w:p>
    <w:p w:rsidR="008E5B32" w:rsidRDefault="008E5B32" w:rsidP="00E15133">
      <w:pPr>
        <w:tabs>
          <w:tab w:val="left" w:pos="7938"/>
        </w:tabs>
        <w:spacing w:after="0" w:line="240" w:lineRule="auto"/>
        <w:ind w:left="851" w:right="1185"/>
        <w:jc w:val="both"/>
        <w:rPr>
          <w:rFonts w:ascii="Palatino Linotype" w:hAnsi="Palatino Linotype" w:cs="Arial"/>
          <w:b/>
          <w:bCs/>
          <w:i/>
        </w:rPr>
      </w:pPr>
    </w:p>
    <w:p w:rsidR="00E15133" w:rsidRPr="00E267F2" w:rsidRDefault="00E15133" w:rsidP="00E15133">
      <w:pPr>
        <w:tabs>
          <w:tab w:val="left" w:pos="7938"/>
        </w:tabs>
        <w:spacing w:after="0" w:line="240" w:lineRule="auto"/>
        <w:ind w:left="851" w:right="1185"/>
        <w:jc w:val="both"/>
        <w:rPr>
          <w:rFonts w:ascii="Palatino Linotype" w:hAnsi="Palatino Linotype" w:cs="Arial"/>
          <w:bCs/>
          <w:i/>
        </w:rPr>
      </w:pPr>
      <w:r w:rsidRPr="00E267F2">
        <w:rPr>
          <w:rFonts w:ascii="Palatino Linotype" w:hAnsi="Palatino Linotype" w:cs="Arial"/>
          <w:b/>
          <w:bCs/>
          <w:i/>
        </w:rPr>
        <w:lastRenderedPageBreak/>
        <w:t>Artículo 129. En la aplicación de la prueba de daño, el sujeto obligado deberá precisar las razones objetivas por las que la apertura de la información generaría una afectación</w:t>
      </w:r>
      <w:r w:rsidRPr="00E267F2">
        <w:rPr>
          <w:rFonts w:ascii="Palatino Linotype" w:hAnsi="Palatino Linotype" w:cs="Arial"/>
          <w:bCs/>
          <w:i/>
        </w:rPr>
        <w:t xml:space="preserve">, justificando que: </w:t>
      </w:r>
    </w:p>
    <w:p w:rsidR="00E15133" w:rsidRPr="00E267F2" w:rsidRDefault="00E15133" w:rsidP="00E15133">
      <w:pPr>
        <w:pStyle w:val="Prrafodelista"/>
        <w:numPr>
          <w:ilvl w:val="0"/>
          <w:numId w:val="2"/>
        </w:numPr>
        <w:tabs>
          <w:tab w:val="left" w:pos="7938"/>
        </w:tabs>
        <w:ind w:left="1560" w:right="1185"/>
        <w:contextualSpacing w:val="0"/>
        <w:jc w:val="both"/>
        <w:rPr>
          <w:rFonts w:ascii="Palatino Linotype" w:hAnsi="Palatino Linotype" w:cs="Arial"/>
          <w:bCs/>
          <w:i/>
          <w:sz w:val="22"/>
          <w:szCs w:val="22"/>
        </w:rPr>
      </w:pPr>
      <w:r w:rsidRPr="00E267F2">
        <w:rPr>
          <w:rFonts w:ascii="Palatino Linotype" w:hAnsi="Palatino Linotype" w:cs="Arial"/>
          <w:bCs/>
          <w:i/>
          <w:sz w:val="22"/>
          <w:szCs w:val="22"/>
        </w:rPr>
        <w:t xml:space="preserve">La divulgación de la información representa un riesgo real, demostrable e identificable del perjuicio significativo al interés público o a la seguridad pública; </w:t>
      </w:r>
    </w:p>
    <w:p w:rsidR="00E15133" w:rsidRPr="00E267F2" w:rsidRDefault="00E15133" w:rsidP="00E15133">
      <w:pPr>
        <w:pStyle w:val="Prrafodelista"/>
        <w:numPr>
          <w:ilvl w:val="0"/>
          <w:numId w:val="2"/>
        </w:numPr>
        <w:tabs>
          <w:tab w:val="left" w:pos="7938"/>
        </w:tabs>
        <w:ind w:left="1560" w:right="1185"/>
        <w:contextualSpacing w:val="0"/>
        <w:jc w:val="both"/>
        <w:rPr>
          <w:rFonts w:ascii="Palatino Linotype" w:hAnsi="Palatino Linotype" w:cs="Arial"/>
          <w:bCs/>
          <w:i/>
          <w:sz w:val="22"/>
          <w:szCs w:val="22"/>
        </w:rPr>
      </w:pPr>
      <w:r w:rsidRPr="00E267F2">
        <w:rPr>
          <w:rFonts w:ascii="Palatino Linotype" w:hAnsi="Palatino Linotype" w:cs="Arial"/>
          <w:bCs/>
          <w:i/>
          <w:sz w:val="22"/>
          <w:szCs w:val="22"/>
        </w:rPr>
        <w:t xml:space="preserve">El riesgo de perjuicio que supondría la divulgación supera el interés público general de que se difunda; y </w:t>
      </w:r>
    </w:p>
    <w:p w:rsidR="00E15133" w:rsidRPr="00E267F2" w:rsidRDefault="00E15133" w:rsidP="00E15133">
      <w:pPr>
        <w:pStyle w:val="Prrafodelista"/>
        <w:numPr>
          <w:ilvl w:val="0"/>
          <w:numId w:val="2"/>
        </w:numPr>
        <w:tabs>
          <w:tab w:val="left" w:pos="7938"/>
        </w:tabs>
        <w:ind w:left="1560" w:right="1185"/>
        <w:contextualSpacing w:val="0"/>
        <w:jc w:val="both"/>
        <w:rPr>
          <w:rFonts w:ascii="Palatino Linotype" w:hAnsi="Palatino Linotype" w:cs="Arial"/>
          <w:bCs/>
          <w:i/>
          <w:sz w:val="22"/>
          <w:szCs w:val="22"/>
        </w:rPr>
      </w:pPr>
      <w:r w:rsidRPr="00E267F2">
        <w:rPr>
          <w:rFonts w:ascii="Palatino Linotype" w:hAnsi="Palatino Linotype" w:cs="Arial"/>
          <w:bCs/>
          <w:i/>
          <w:sz w:val="22"/>
          <w:szCs w:val="22"/>
        </w:rPr>
        <w:t>La limitación se adecua al principio de proporcionalidad y representa el medio menos restrictivo disponible representa el medio menos restrictivo disponible para evitar el perjuicio.</w:t>
      </w:r>
    </w:p>
    <w:p w:rsidR="00E15133" w:rsidRPr="008E5B32" w:rsidRDefault="00E15133" w:rsidP="008E5B32">
      <w:pPr>
        <w:pStyle w:val="Prrafodelista"/>
        <w:tabs>
          <w:tab w:val="left" w:pos="7938"/>
        </w:tabs>
        <w:ind w:left="1560" w:right="1185"/>
        <w:contextualSpacing w:val="0"/>
        <w:jc w:val="both"/>
        <w:rPr>
          <w:rFonts w:ascii="Palatino Linotype" w:hAnsi="Palatino Linotype" w:cs="Arial"/>
          <w:bCs/>
          <w:i/>
          <w:sz w:val="22"/>
          <w:szCs w:val="22"/>
        </w:rPr>
      </w:pPr>
      <w:r w:rsidRPr="008E5B32">
        <w:rPr>
          <w:rFonts w:ascii="Palatino Linotype" w:hAnsi="Palatino Linotype" w:cs="Arial"/>
          <w:bCs/>
          <w:i/>
          <w:sz w:val="22"/>
          <w:szCs w:val="22"/>
        </w:rPr>
        <w:t>(Énfasis añadido)</w:t>
      </w:r>
    </w:p>
    <w:p w:rsidR="00E15133" w:rsidRPr="00BF3FFC" w:rsidRDefault="00E15133" w:rsidP="00E15133">
      <w:pPr>
        <w:spacing w:before="100" w:beforeAutospacing="1" w:after="100" w:afterAutospacing="1" w:line="360" w:lineRule="auto"/>
        <w:jc w:val="both"/>
        <w:rPr>
          <w:rFonts w:ascii="Palatino Linotype" w:hAnsi="Palatino Linotype" w:cs="Arial"/>
          <w:sz w:val="24"/>
          <w:szCs w:val="24"/>
        </w:rPr>
      </w:pPr>
      <w:r w:rsidRPr="00BF3FFC">
        <w:rPr>
          <w:rFonts w:ascii="Palatino Linotype" w:hAnsi="Palatino Linotype" w:cs="Arial"/>
          <w:sz w:val="24"/>
          <w:szCs w:val="24"/>
        </w:rPr>
        <w:t xml:space="preserve">Ahora bien, en el supuesto de que </w:t>
      </w:r>
      <w:r w:rsidRPr="00BF3FFC">
        <w:rPr>
          <w:rFonts w:ascii="Palatino Linotype" w:hAnsi="Palatino Linotype" w:cs="Arial"/>
          <w:b/>
          <w:sz w:val="24"/>
          <w:szCs w:val="24"/>
        </w:rPr>
        <w:t>no hayan causado estado</w:t>
      </w:r>
      <w:r w:rsidRPr="00BF3FFC">
        <w:rPr>
          <w:rFonts w:ascii="Palatino Linotype" w:hAnsi="Palatino Linotype" w:cs="Arial"/>
          <w:sz w:val="24"/>
          <w:szCs w:val="24"/>
        </w:rPr>
        <w:t>, se estaría frente la actualización de las hipótesis jurídicas previstas las fracciones VIII y X del artículo 140 de la Ley</w:t>
      </w:r>
      <w:r w:rsidRPr="00BF3FFC">
        <w:rPr>
          <w:rFonts w:ascii="Palatino Linotype" w:hAnsi="Palatino Linotype"/>
          <w:sz w:val="24"/>
          <w:szCs w:val="24"/>
          <w:lang w:eastAsia="es-ES_tradnl"/>
        </w:rPr>
        <w:t xml:space="preserve"> de Transparencia y Acceso a la Información Pública de</w:t>
      </w:r>
      <w:r w:rsidR="008E5B32">
        <w:rPr>
          <w:rFonts w:ascii="Palatino Linotype" w:hAnsi="Palatino Linotype"/>
          <w:sz w:val="24"/>
          <w:szCs w:val="24"/>
          <w:lang w:eastAsia="es-ES_tradnl"/>
        </w:rPr>
        <w:t>l Estado de México y Municipios;</w:t>
      </w:r>
      <w:r w:rsidRPr="00BF3FFC">
        <w:rPr>
          <w:rFonts w:ascii="Palatino Linotype" w:hAnsi="Palatino Linotype"/>
          <w:sz w:val="24"/>
          <w:szCs w:val="24"/>
          <w:lang w:eastAsia="es-ES_tradnl"/>
        </w:rPr>
        <w:t xml:space="preserve"> puesto que</w:t>
      </w:r>
      <w:r w:rsidR="008E5B32">
        <w:rPr>
          <w:rFonts w:ascii="Palatino Linotype" w:hAnsi="Palatino Linotype"/>
          <w:sz w:val="24"/>
          <w:szCs w:val="24"/>
          <w:lang w:eastAsia="es-ES_tradnl"/>
        </w:rPr>
        <w:t>,</w:t>
      </w:r>
      <w:r w:rsidRPr="00BF3FFC">
        <w:rPr>
          <w:rFonts w:ascii="Palatino Linotype" w:hAnsi="Palatino Linotype"/>
          <w:sz w:val="24"/>
          <w:szCs w:val="24"/>
          <w:lang w:eastAsia="es-ES_tradnl"/>
        </w:rPr>
        <w:t xml:space="preserve"> conocer el nombre de los </w:t>
      </w:r>
      <w:r w:rsidR="003C0087">
        <w:rPr>
          <w:rFonts w:ascii="Palatino Linotype" w:hAnsi="Palatino Linotype"/>
          <w:sz w:val="24"/>
          <w:szCs w:val="24"/>
          <w:lang w:eastAsia="es-ES_tradnl"/>
        </w:rPr>
        <w:t>demandantes</w:t>
      </w:r>
      <w:r w:rsidRPr="00BF3FFC">
        <w:rPr>
          <w:rFonts w:ascii="Palatino Linotype" w:hAnsi="Palatino Linotype"/>
          <w:sz w:val="24"/>
          <w:szCs w:val="24"/>
          <w:lang w:eastAsia="es-ES_tradnl"/>
        </w:rPr>
        <w:t xml:space="preserve"> requeridos </w:t>
      </w:r>
      <w:r w:rsidRPr="00BF3FFC">
        <w:rPr>
          <w:rFonts w:ascii="Palatino Linotype" w:hAnsi="Palatino Linotype" w:cs="Arial"/>
          <w:sz w:val="24"/>
          <w:szCs w:val="24"/>
        </w:rPr>
        <w:t>podría vulnerar la conducción de la decisión jurisdiccional en curso, además del daño que pudiera producirse superaría el interés público de darse a conocer</w:t>
      </w:r>
      <w:r w:rsidRPr="00BF3FFC">
        <w:rPr>
          <w:rFonts w:ascii="Palatino Linotype" w:hAnsi="Palatino Linotype"/>
          <w:sz w:val="24"/>
          <w:szCs w:val="24"/>
          <w:lang w:eastAsia="es-ES_tradnl"/>
        </w:rPr>
        <w:t>, preceptos que se a la letra indican lo siguiente:</w:t>
      </w:r>
    </w:p>
    <w:p w:rsidR="00E15133" w:rsidRPr="00E267F2" w:rsidRDefault="00E15133" w:rsidP="00E15133">
      <w:pPr>
        <w:spacing w:after="0" w:line="240" w:lineRule="auto"/>
        <w:ind w:left="851" w:right="902"/>
        <w:jc w:val="both"/>
        <w:rPr>
          <w:rFonts w:ascii="Palatino Linotype" w:hAnsi="Palatino Linotype"/>
          <w:bCs/>
          <w:i/>
        </w:rPr>
      </w:pPr>
      <w:r w:rsidRPr="00E267F2">
        <w:rPr>
          <w:rFonts w:ascii="Palatino Linotype" w:hAnsi="Palatino Linotype"/>
          <w:bCs/>
          <w:i/>
        </w:rPr>
        <w:t>“</w:t>
      </w:r>
      <w:r w:rsidRPr="00E267F2">
        <w:rPr>
          <w:rFonts w:ascii="Palatino Linotype" w:hAnsi="Palatino Linotype"/>
          <w:b/>
          <w:bCs/>
          <w:i/>
        </w:rPr>
        <w:t>Artículo 140. El acceso a la información pública será restringido excepcionalmente, cuando por razones de interés público, ésta sea clasificada como reservada</w:t>
      </w:r>
      <w:r w:rsidRPr="00E267F2">
        <w:rPr>
          <w:rFonts w:ascii="Palatino Linotype" w:hAnsi="Palatino Linotype"/>
          <w:bCs/>
          <w:i/>
        </w:rPr>
        <w:t xml:space="preserve">, conforme a los criterios siguientes: </w:t>
      </w:r>
    </w:p>
    <w:p w:rsidR="00E15133" w:rsidRPr="00E267F2" w:rsidRDefault="00E15133" w:rsidP="00E15133">
      <w:pPr>
        <w:spacing w:after="0" w:line="240" w:lineRule="auto"/>
        <w:ind w:left="851" w:right="902"/>
        <w:jc w:val="both"/>
        <w:rPr>
          <w:rFonts w:ascii="Palatino Linotype" w:hAnsi="Palatino Linotype"/>
          <w:bCs/>
          <w:i/>
        </w:rPr>
      </w:pPr>
      <w:r w:rsidRPr="00E267F2">
        <w:rPr>
          <w:rFonts w:ascii="Palatino Linotype" w:hAnsi="Palatino Linotype"/>
          <w:bCs/>
          <w:i/>
        </w:rPr>
        <w:t>…</w:t>
      </w:r>
    </w:p>
    <w:p w:rsidR="00E15133" w:rsidRPr="00E267F2" w:rsidRDefault="00E15133" w:rsidP="00E15133">
      <w:pPr>
        <w:spacing w:after="0" w:line="240" w:lineRule="auto"/>
        <w:ind w:left="851" w:right="902"/>
        <w:jc w:val="both"/>
        <w:rPr>
          <w:rFonts w:ascii="Palatino Linotype" w:hAnsi="Palatino Linotype"/>
          <w:bCs/>
          <w:i/>
        </w:rPr>
      </w:pPr>
      <w:r w:rsidRPr="00E267F2">
        <w:rPr>
          <w:rFonts w:ascii="Palatino Linotype" w:hAnsi="Palatino Linotype"/>
          <w:b/>
          <w:bCs/>
          <w:i/>
        </w:rPr>
        <w:t>VIII. Vulnere la conducción de los expedientes judiciales</w:t>
      </w:r>
      <w:r w:rsidRPr="00E267F2">
        <w:rPr>
          <w:rFonts w:ascii="Palatino Linotype" w:hAnsi="Palatino Linotype"/>
          <w:bCs/>
          <w:i/>
        </w:rPr>
        <w:t xml:space="preserve"> o de los procedimientos administrativos seguidos en forma de juicio, </w:t>
      </w:r>
      <w:r w:rsidRPr="00E267F2">
        <w:rPr>
          <w:rFonts w:ascii="Palatino Linotype" w:hAnsi="Palatino Linotype"/>
          <w:b/>
          <w:bCs/>
          <w:i/>
        </w:rPr>
        <w:t>en tanto no hayan quedado firmes</w:t>
      </w:r>
      <w:r w:rsidRPr="00E267F2">
        <w:rPr>
          <w:rFonts w:ascii="Palatino Linotype" w:hAnsi="Palatino Linotype"/>
          <w:bCs/>
          <w:i/>
        </w:rPr>
        <w:t>;</w:t>
      </w:r>
    </w:p>
    <w:p w:rsidR="00E15133" w:rsidRPr="00E267F2" w:rsidRDefault="00E15133" w:rsidP="00E15133">
      <w:pPr>
        <w:spacing w:after="0" w:line="240" w:lineRule="auto"/>
        <w:ind w:left="851" w:right="902"/>
        <w:jc w:val="both"/>
        <w:rPr>
          <w:rFonts w:ascii="Palatino Linotype" w:hAnsi="Palatino Linotype"/>
          <w:bCs/>
          <w:i/>
        </w:rPr>
      </w:pPr>
      <w:r w:rsidRPr="00E267F2">
        <w:rPr>
          <w:rFonts w:ascii="Palatino Linotype" w:hAnsi="Palatino Linotype"/>
          <w:bCs/>
          <w:i/>
        </w:rPr>
        <w:t>…</w:t>
      </w:r>
    </w:p>
    <w:p w:rsidR="00E15133" w:rsidRPr="00E267F2" w:rsidRDefault="00E15133" w:rsidP="00E15133">
      <w:pPr>
        <w:spacing w:after="0" w:line="240" w:lineRule="auto"/>
        <w:ind w:left="851" w:right="902"/>
        <w:jc w:val="both"/>
        <w:rPr>
          <w:rFonts w:ascii="Palatino Linotype" w:hAnsi="Palatino Linotype"/>
          <w:bCs/>
          <w:i/>
        </w:rPr>
      </w:pPr>
      <w:r w:rsidRPr="00E267F2">
        <w:rPr>
          <w:rFonts w:ascii="Palatino Linotype" w:hAnsi="Palatino Linotype"/>
          <w:b/>
          <w:bCs/>
          <w:i/>
        </w:rPr>
        <w:t>X. El daño que pueda producirse con la publicación de la información sea mayor que el interés público de conocer la información de referencia, siempre que esté directamente relacionado con procesos</w:t>
      </w:r>
      <w:r w:rsidRPr="00E267F2">
        <w:rPr>
          <w:rFonts w:ascii="Palatino Linotype" w:hAnsi="Palatino Linotype"/>
          <w:bCs/>
          <w:i/>
        </w:rPr>
        <w:t xml:space="preserve"> o procedimientos administrativos o </w:t>
      </w:r>
      <w:r w:rsidRPr="00E267F2">
        <w:rPr>
          <w:rFonts w:ascii="Palatino Linotype" w:hAnsi="Palatino Linotype"/>
          <w:b/>
          <w:bCs/>
          <w:i/>
        </w:rPr>
        <w:t>judiciales que no hayan quedado firmes</w:t>
      </w:r>
      <w:r w:rsidRPr="00E267F2">
        <w:rPr>
          <w:rFonts w:ascii="Palatino Linotype" w:hAnsi="Palatino Linotype"/>
          <w:bCs/>
          <w:i/>
        </w:rPr>
        <w:t xml:space="preserve">; </w:t>
      </w:r>
    </w:p>
    <w:p w:rsidR="00E15133" w:rsidRPr="00E267F2" w:rsidRDefault="00E15133" w:rsidP="00E15133">
      <w:pPr>
        <w:spacing w:after="0" w:line="240" w:lineRule="auto"/>
        <w:ind w:left="851" w:right="902"/>
        <w:jc w:val="both"/>
        <w:rPr>
          <w:rFonts w:ascii="Palatino Linotype" w:hAnsi="Palatino Linotype"/>
          <w:bCs/>
          <w:i/>
        </w:rPr>
      </w:pPr>
      <w:r w:rsidRPr="00E267F2">
        <w:rPr>
          <w:rFonts w:ascii="Palatino Linotype" w:hAnsi="Palatino Linotype"/>
          <w:bCs/>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15133" w:rsidRPr="00E267F2" w:rsidRDefault="00E15133" w:rsidP="00E15133">
      <w:pPr>
        <w:spacing w:after="0" w:line="240" w:lineRule="auto"/>
        <w:ind w:left="851" w:right="902"/>
        <w:jc w:val="both"/>
        <w:rPr>
          <w:rFonts w:ascii="Palatino Linotype" w:hAnsi="Palatino Linotype" w:cs="Arial"/>
          <w:sz w:val="24"/>
          <w:szCs w:val="24"/>
        </w:rPr>
      </w:pPr>
      <w:r w:rsidRPr="00E267F2">
        <w:rPr>
          <w:rFonts w:ascii="Palatino Linotype" w:hAnsi="Palatino Linotype"/>
          <w:bCs/>
        </w:rPr>
        <w:t>(Énfasis añadido)</w:t>
      </w:r>
    </w:p>
    <w:p w:rsidR="00650436" w:rsidRDefault="00E15133" w:rsidP="00E15133">
      <w:pPr>
        <w:spacing w:before="100" w:beforeAutospacing="1" w:after="100" w:afterAutospacing="1" w:line="360" w:lineRule="auto"/>
        <w:jc w:val="both"/>
        <w:rPr>
          <w:rFonts w:ascii="Palatino Linotype" w:hAnsi="Palatino Linotype" w:cs="Arial"/>
          <w:sz w:val="24"/>
          <w:szCs w:val="24"/>
        </w:rPr>
      </w:pPr>
      <w:r w:rsidRPr="00E267F2">
        <w:rPr>
          <w:rFonts w:ascii="Palatino Linotype" w:hAnsi="Palatino Linotype" w:cs="Arial"/>
          <w:sz w:val="24"/>
          <w:szCs w:val="24"/>
        </w:rPr>
        <w:t xml:space="preserve">Es por lo anteriormente expuesto que, la que suscrita emite </w:t>
      </w:r>
      <w:r w:rsidRPr="00E267F2">
        <w:rPr>
          <w:rFonts w:ascii="Palatino Linotype" w:hAnsi="Palatino Linotype" w:cs="Arial"/>
          <w:b/>
          <w:sz w:val="24"/>
          <w:szCs w:val="24"/>
        </w:rPr>
        <w:t>VOTO PARTICULAR</w:t>
      </w:r>
      <w:r w:rsidRPr="00E267F2">
        <w:rPr>
          <w:rFonts w:ascii="Palatino Linotype" w:hAnsi="Palatino Linotype" w:cs="Arial"/>
          <w:sz w:val="24"/>
          <w:szCs w:val="24"/>
        </w:rPr>
        <w:t xml:space="preserve">, pues se insiste </w:t>
      </w:r>
      <w:r>
        <w:rPr>
          <w:rFonts w:ascii="Palatino Linotype" w:hAnsi="Palatino Linotype" w:cs="Arial"/>
          <w:sz w:val="24"/>
          <w:szCs w:val="24"/>
        </w:rPr>
        <w:t xml:space="preserve">en que la Ponencia Resolutora debió </w:t>
      </w:r>
      <w:r w:rsidR="00650436">
        <w:rPr>
          <w:rFonts w:ascii="Palatino Linotype" w:hAnsi="Palatino Linotype" w:cs="Arial"/>
          <w:sz w:val="24"/>
          <w:szCs w:val="24"/>
        </w:rPr>
        <w:t>analizar la solicitud de información en estudio y en Resolutivos precisar lo procedente de acuerdo a los supuestos de entrega de la información; ello de conformidad con lo establecido en el artículo 9 fracciones VII y VIII</w:t>
      </w:r>
      <w:r w:rsidR="00650436">
        <w:rPr>
          <w:rStyle w:val="Refdenotaalpie"/>
          <w:rFonts w:ascii="Palatino Linotype" w:hAnsi="Palatino Linotype" w:cs="Arial"/>
          <w:sz w:val="24"/>
          <w:szCs w:val="24"/>
        </w:rPr>
        <w:footnoteReference w:id="1"/>
      </w:r>
      <w:r w:rsidR="00650436">
        <w:rPr>
          <w:rFonts w:ascii="Palatino Linotype" w:hAnsi="Palatino Linotype" w:cs="Arial"/>
          <w:sz w:val="24"/>
          <w:szCs w:val="24"/>
        </w:rPr>
        <w:t xml:space="preserve"> de la Ley de Transparencia y Acceso a la Información Pública del Estado de México y Municipios.</w:t>
      </w:r>
    </w:p>
    <w:p w:rsidR="00005869" w:rsidRDefault="00005869" w:rsidP="00E15133">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E15133" w:rsidRPr="00E267F2" w:rsidTr="00D13666">
        <w:trPr>
          <w:jc w:val="center"/>
        </w:trPr>
        <w:tc>
          <w:tcPr>
            <w:tcW w:w="4393" w:type="dxa"/>
          </w:tcPr>
          <w:p w:rsidR="00E15133" w:rsidRPr="00E267F2" w:rsidRDefault="00E15133" w:rsidP="00D13666">
            <w:pPr>
              <w:spacing w:after="0" w:line="240" w:lineRule="auto"/>
              <w:ind w:right="51"/>
              <w:jc w:val="center"/>
              <w:rPr>
                <w:rFonts w:ascii="Palatino Linotype" w:hAnsi="Palatino Linotype"/>
                <w:b/>
                <w:sz w:val="24"/>
                <w:szCs w:val="24"/>
              </w:rPr>
            </w:pPr>
            <w:r w:rsidRPr="00E267F2">
              <w:rPr>
                <w:rFonts w:ascii="Palatino Linotype" w:hAnsi="Palatino Linotype"/>
                <w:b/>
                <w:sz w:val="24"/>
                <w:szCs w:val="24"/>
              </w:rPr>
              <w:t>EVA ABAID YAPUR</w:t>
            </w:r>
          </w:p>
          <w:p w:rsidR="00E15133" w:rsidRDefault="00E15133" w:rsidP="00005869">
            <w:pPr>
              <w:spacing w:after="0" w:line="240" w:lineRule="auto"/>
              <w:ind w:right="51"/>
              <w:jc w:val="center"/>
              <w:rPr>
                <w:rFonts w:ascii="Palatino Linotype" w:hAnsi="Palatino Linotype"/>
                <w:b/>
                <w:sz w:val="24"/>
                <w:szCs w:val="24"/>
              </w:rPr>
            </w:pPr>
            <w:r w:rsidRPr="00E267F2">
              <w:rPr>
                <w:rFonts w:ascii="Palatino Linotype" w:hAnsi="Palatino Linotype"/>
                <w:b/>
                <w:sz w:val="24"/>
                <w:szCs w:val="24"/>
              </w:rPr>
              <w:t>COMISIONADA</w:t>
            </w:r>
          </w:p>
          <w:p w:rsidR="006D4092" w:rsidRPr="00E267F2" w:rsidRDefault="006D4092" w:rsidP="00005869">
            <w:pPr>
              <w:spacing w:after="0" w:line="240" w:lineRule="auto"/>
              <w:ind w:right="51"/>
              <w:jc w:val="center"/>
              <w:rPr>
                <w:rFonts w:ascii="Palatino Linotype" w:hAnsi="Palatino Linotype"/>
                <w:b/>
                <w:sz w:val="24"/>
                <w:szCs w:val="24"/>
              </w:rPr>
            </w:pPr>
            <w:r>
              <w:rPr>
                <w:rFonts w:ascii="Palatino Linotype" w:hAnsi="Palatino Linotype"/>
                <w:b/>
                <w:sz w:val="24"/>
                <w:szCs w:val="24"/>
              </w:rPr>
              <w:t>(RÚBRICA)</w:t>
            </w:r>
          </w:p>
        </w:tc>
      </w:tr>
    </w:tbl>
    <w:p w:rsidR="00E4348E" w:rsidRDefault="00E4348E" w:rsidP="00E4348E">
      <w:pPr>
        <w:widowControl w:val="0"/>
        <w:spacing w:after="0" w:line="240" w:lineRule="auto"/>
        <w:ind w:right="51"/>
        <w:jc w:val="both"/>
        <w:rPr>
          <w:rFonts w:ascii="Palatino Linotype" w:eastAsia="Calibri" w:hAnsi="Palatino Linotype" w:cs="Arial"/>
          <w:color w:val="000000" w:themeColor="text1"/>
          <w:sz w:val="18"/>
          <w:szCs w:val="18"/>
        </w:rPr>
      </w:pPr>
    </w:p>
    <w:p w:rsidR="006D4092" w:rsidRDefault="006D4092" w:rsidP="00E4348E">
      <w:pPr>
        <w:widowControl w:val="0"/>
        <w:spacing w:after="0" w:line="240" w:lineRule="auto"/>
        <w:ind w:right="51"/>
        <w:jc w:val="both"/>
        <w:rPr>
          <w:rFonts w:ascii="Palatino Linotype" w:eastAsia="Calibri" w:hAnsi="Palatino Linotype" w:cs="Arial"/>
          <w:color w:val="000000" w:themeColor="text1"/>
          <w:sz w:val="18"/>
          <w:szCs w:val="18"/>
        </w:rPr>
      </w:pPr>
    </w:p>
    <w:p w:rsidR="006D4092" w:rsidRDefault="006D4092" w:rsidP="00E4348E">
      <w:pPr>
        <w:widowControl w:val="0"/>
        <w:spacing w:after="0" w:line="240" w:lineRule="auto"/>
        <w:ind w:right="51"/>
        <w:jc w:val="both"/>
        <w:rPr>
          <w:rFonts w:ascii="Palatino Linotype" w:eastAsia="Calibri" w:hAnsi="Palatino Linotype" w:cs="Arial"/>
          <w:color w:val="000000" w:themeColor="text1"/>
          <w:sz w:val="18"/>
          <w:szCs w:val="18"/>
        </w:rPr>
      </w:pPr>
    </w:p>
    <w:p w:rsidR="006D4092" w:rsidRDefault="006D4092" w:rsidP="00E4348E">
      <w:pPr>
        <w:widowControl w:val="0"/>
        <w:spacing w:after="0" w:line="240" w:lineRule="auto"/>
        <w:ind w:right="51"/>
        <w:jc w:val="both"/>
        <w:rPr>
          <w:rFonts w:ascii="Palatino Linotype" w:eastAsia="Calibri" w:hAnsi="Palatino Linotype" w:cs="Arial"/>
          <w:color w:val="000000" w:themeColor="text1"/>
          <w:sz w:val="18"/>
          <w:szCs w:val="18"/>
        </w:rPr>
      </w:pPr>
    </w:p>
    <w:p w:rsidR="006D4092" w:rsidRDefault="006D4092" w:rsidP="00E4348E">
      <w:pPr>
        <w:widowControl w:val="0"/>
        <w:spacing w:after="0" w:line="240" w:lineRule="auto"/>
        <w:ind w:right="51"/>
        <w:jc w:val="both"/>
        <w:rPr>
          <w:rFonts w:ascii="Palatino Linotype" w:eastAsia="Calibri" w:hAnsi="Palatino Linotype" w:cs="Arial"/>
          <w:color w:val="000000" w:themeColor="text1"/>
          <w:sz w:val="18"/>
          <w:szCs w:val="18"/>
        </w:rPr>
      </w:pPr>
      <w:bookmarkStart w:id="0" w:name="_GoBack"/>
      <w:bookmarkEnd w:id="0"/>
    </w:p>
    <w:p w:rsidR="00E15133" w:rsidRPr="00005869" w:rsidRDefault="00E15133" w:rsidP="00E4348E">
      <w:pPr>
        <w:widowControl w:val="0"/>
        <w:spacing w:after="0" w:line="240" w:lineRule="auto"/>
        <w:ind w:right="51"/>
        <w:jc w:val="both"/>
        <w:rPr>
          <w:rFonts w:ascii="Palatino Linotype" w:hAnsi="Palatino Linotype" w:cs="Arial"/>
          <w:sz w:val="20"/>
          <w:szCs w:val="20"/>
        </w:rPr>
      </w:pPr>
      <w:r w:rsidRPr="00005869">
        <w:rPr>
          <w:rFonts w:ascii="Palatino Linotype" w:eastAsia="Calibri" w:hAnsi="Palatino Linotype" w:cs="Arial"/>
          <w:color w:val="000000" w:themeColor="text1"/>
          <w:sz w:val="20"/>
          <w:szCs w:val="20"/>
        </w:rPr>
        <w:t>Esta hoja corresponde al voto particular emitido en</w:t>
      </w:r>
      <w:r w:rsidR="008E5B32" w:rsidRPr="00005869">
        <w:rPr>
          <w:rFonts w:ascii="Palatino Linotype" w:eastAsia="Calibri" w:hAnsi="Palatino Linotype" w:cs="Arial"/>
          <w:color w:val="000000" w:themeColor="text1"/>
          <w:sz w:val="20"/>
          <w:szCs w:val="20"/>
        </w:rPr>
        <w:t xml:space="preserve"> la resolución</w:t>
      </w:r>
      <w:r w:rsidRPr="00005869">
        <w:rPr>
          <w:rFonts w:ascii="Palatino Linotype" w:eastAsia="Calibri" w:hAnsi="Palatino Linotype" w:cs="Arial"/>
          <w:color w:val="000000" w:themeColor="text1"/>
          <w:sz w:val="20"/>
          <w:szCs w:val="20"/>
        </w:rPr>
        <w:t xml:space="preserve"> del recurso de revisión </w:t>
      </w:r>
      <w:r w:rsidR="008E5B32" w:rsidRPr="00005869">
        <w:rPr>
          <w:rFonts w:ascii="Palatino Linotype" w:hAnsi="Palatino Linotype" w:cs="Arial"/>
          <w:bCs/>
          <w:sz w:val="20"/>
          <w:szCs w:val="20"/>
        </w:rPr>
        <w:t>04585</w:t>
      </w:r>
      <w:r w:rsidRPr="00005869">
        <w:rPr>
          <w:rFonts w:ascii="Palatino Linotype" w:hAnsi="Palatino Linotype" w:cs="Arial"/>
          <w:bCs/>
          <w:sz w:val="20"/>
          <w:szCs w:val="20"/>
        </w:rPr>
        <w:t>/INFOEM/IP/RR/2018,</w:t>
      </w:r>
      <w:r w:rsidRPr="00005869">
        <w:rPr>
          <w:rFonts w:ascii="Palatino Linotype" w:hAnsi="Palatino Linotype" w:cs="Arial"/>
          <w:b/>
          <w:bCs/>
          <w:sz w:val="20"/>
          <w:szCs w:val="20"/>
        </w:rPr>
        <w:t xml:space="preserve"> </w:t>
      </w:r>
      <w:r w:rsidRPr="00005869">
        <w:rPr>
          <w:rFonts w:ascii="Palatino Linotype" w:hAnsi="Palatino Linotype" w:cs="Arial"/>
          <w:bCs/>
          <w:sz w:val="20"/>
          <w:szCs w:val="20"/>
        </w:rPr>
        <w:t>aprobada</w:t>
      </w:r>
      <w:r w:rsidR="008E5B32" w:rsidRPr="00005869">
        <w:rPr>
          <w:rFonts w:ascii="Palatino Linotype" w:hAnsi="Palatino Linotype" w:cs="Arial"/>
          <w:bCs/>
          <w:sz w:val="20"/>
          <w:szCs w:val="20"/>
        </w:rPr>
        <w:t xml:space="preserve"> el veintisiete de febrero de </w:t>
      </w:r>
      <w:r w:rsidRPr="00005869">
        <w:rPr>
          <w:rFonts w:ascii="Palatino Linotype" w:hAnsi="Palatino Linotype" w:cs="Arial"/>
          <w:bCs/>
          <w:sz w:val="20"/>
          <w:szCs w:val="20"/>
        </w:rPr>
        <w:t>dos mil dieci</w:t>
      </w:r>
      <w:r w:rsidR="008E5B32" w:rsidRPr="00005869">
        <w:rPr>
          <w:rFonts w:ascii="Palatino Linotype" w:hAnsi="Palatino Linotype" w:cs="Arial"/>
          <w:bCs/>
          <w:sz w:val="20"/>
          <w:szCs w:val="20"/>
        </w:rPr>
        <w:t>nueve.</w:t>
      </w:r>
    </w:p>
    <w:p w:rsidR="00C23B43" w:rsidRDefault="00E15133" w:rsidP="00E4348E">
      <w:pPr>
        <w:spacing w:after="0" w:line="240" w:lineRule="auto"/>
        <w:ind w:right="51"/>
        <w:jc w:val="both"/>
      </w:pPr>
      <w:r w:rsidRPr="00005869">
        <w:rPr>
          <w:rFonts w:ascii="Palatino Linotype" w:eastAsia="Calibri" w:hAnsi="Palatino Linotype" w:cs="Arial"/>
          <w:color w:val="000000" w:themeColor="text1"/>
          <w:sz w:val="20"/>
          <w:szCs w:val="20"/>
        </w:rPr>
        <w:t>YSM/AMV</w:t>
      </w:r>
    </w:p>
    <w:sectPr w:rsidR="00C23B43"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DAA" w:rsidRDefault="002F6DAA" w:rsidP="00E15133">
      <w:pPr>
        <w:spacing w:after="0" w:line="240" w:lineRule="auto"/>
      </w:pPr>
      <w:r>
        <w:separator/>
      </w:r>
    </w:p>
  </w:endnote>
  <w:endnote w:type="continuationSeparator" w:id="0">
    <w:p w:rsidR="002F6DAA" w:rsidRDefault="002F6DAA" w:rsidP="00E1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D4092" w:rsidP="00DC5C4E">
    <w:pPr>
      <w:pStyle w:val="Piedepgina"/>
      <w:tabs>
        <w:tab w:val="clear" w:pos="4252"/>
        <w:tab w:val="left" w:pos="4228"/>
      </w:tabs>
      <w:rPr>
        <w:rFonts w:ascii="Palatino Linotype" w:hAnsi="Palatino Linotype" w:cs="Arial"/>
        <w:b/>
        <w:bCs/>
        <w:sz w:val="20"/>
        <w:szCs w:val="20"/>
      </w:rPr>
    </w:pPr>
  </w:p>
  <w:p w:rsidR="005C7C8F" w:rsidRDefault="006D4092" w:rsidP="00DC5C4E">
    <w:pPr>
      <w:pStyle w:val="Piedepgina"/>
      <w:tabs>
        <w:tab w:val="clear" w:pos="4252"/>
        <w:tab w:val="left" w:pos="4228"/>
      </w:tabs>
      <w:rPr>
        <w:rFonts w:ascii="Palatino Linotype" w:hAnsi="Palatino Linotype" w:cs="Arial"/>
        <w:b/>
        <w:bCs/>
        <w:sz w:val="20"/>
        <w:szCs w:val="20"/>
      </w:rPr>
    </w:pPr>
  </w:p>
  <w:p w:rsidR="005C7C8F" w:rsidRDefault="006D4092" w:rsidP="00DC5C4E">
    <w:pPr>
      <w:pStyle w:val="Piedepgina"/>
      <w:tabs>
        <w:tab w:val="clear" w:pos="4252"/>
        <w:tab w:val="left" w:pos="4228"/>
      </w:tabs>
      <w:rPr>
        <w:rFonts w:ascii="Palatino Linotype" w:hAnsi="Palatino Linotype" w:cs="Arial"/>
        <w:b/>
        <w:bCs/>
        <w:sz w:val="20"/>
        <w:szCs w:val="20"/>
      </w:rPr>
    </w:pPr>
  </w:p>
  <w:p w:rsidR="005C7C8F" w:rsidRDefault="006D4092" w:rsidP="00DC5C4E">
    <w:pPr>
      <w:pStyle w:val="Piedepgina"/>
      <w:rPr>
        <w:rFonts w:ascii="Palatino Linotype" w:hAnsi="Palatino Linotype" w:cs="Arial"/>
        <w:b/>
        <w:bCs/>
        <w:sz w:val="20"/>
        <w:szCs w:val="20"/>
      </w:rPr>
    </w:pPr>
  </w:p>
  <w:p w:rsidR="005C7C8F" w:rsidRPr="00F12350" w:rsidRDefault="00871074"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D4092">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D4092">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5C7C8F" w:rsidRDefault="006D4092"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DAA" w:rsidRDefault="002F6DAA" w:rsidP="00E15133">
      <w:pPr>
        <w:spacing w:after="0" w:line="240" w:lineRule="auto"/>
      </w:pPr>
      <w:r>
        <w:separator/>
      </w:r>
    </w:p>
  </w:footnote>
  <w:footnote w:type="continuationSeparator" w:id="0">
    <w:p w:rsidR="002F6DAA" w:rsidRDefault="002F6DAA" w:rsidP="00E15133">
      <w:pPr>
        <w:spacing w:after="0" w:line="240" w:lineRule="auto"/>
      </w:pPr>
      <w:r>
        <w:continuationSeparator/>
      </w:r>
    </w:p>
  </w:footnote>
  <w:footnote w:id="1">
    <w:p w:rsidR="00650436" w:rsidRPr="00650436" w:rsidRDefault="00650436" w:rsidP="00650436">
      <w:pPr>
        <w:pStyle w:val="Textonotapie"/>
        <w:jc w:val="both"/>
        <w:rPr>
          <w:rFonts w:ascii="Palatino Linotype" w:hAnsi="Palatino Linotype"/>
          <w:sz w:val="16"/>
          <w:szCs w:val="16"/>
        </w:rPr>
      </w:pPr>
      <w:r>
        <w:rPr>
          <w:rStyle w:val="Refdenotaalpie"/>
        </w:rPr>
        <w:footnoteRef/>
      </w:r>
      <w:r>
        <w:t xml:space="preserve"> </w:t>
      </w:r>
      <w:r w:rsidRPr="00650436">
        <w:rPr>
          <w:rFonts w:ascii="Palatino Linotype" w:hAnsi="Palatino Linotype"/>
          <w:b/>
          <w:sz w:val="16"/>
          <w:szCs w:val="16"/>
        </w:rPr>
        <w:t>Artículo 9.</w:t>
      </w:r>
      <w:r w:rsidRPr="00650436">
        <w:rPr>
          <w:rFonts w:ascii="Palatino Linotype" w:hAnsi="Palatino Linotype"/>
          <w:sz w:val="16"/>
          <w:szCs w:val="16"/>
        </w:rPr>
        <w:t xml:space="preserve"> El Instituto deberá regir su funcionamiento de acuerdo a los siguientes principios:</w:t>
      </w:r>
    </w:p>
    <w:p w:rsidR="00650436" w:rsidRDefault="00650436" w:rsidP="00650436">
      <w:pPr>
        <w:pStyle w:val="Textonotapie"/>
        <w:jc w:val="both"/>
        <w:rPr>
          <w:rFonts w:ascii="Palatino Linotype" w:hAnsi="Palatino Linotype"/>
          <w:sz w:val="16"/>
          <w:szCs w:val="16"/>
        </w:rPr>
      </w:pPr>
      <w:r w:rsidRPr="00650436">
        <w:rPr>
          <w:rFonts w:ascii="Palatino Linotype" w:hAnsi="Palatino Linotype"/>
          <w:b/>
          <w:sz w:val="16"/>
          <w:szCs w:val="16"/>
        </w:rPr>
        <w:t>VII.</w:t>
      </w:r>
      <w:r w:rsidRPr="00650436">
        <w:rPr>
          <w:rFonts w:ascii="Palatino Linotype" w:hAnsi="Palatino Linotype"/>
          <w:sz w:val="16"/>
          <w:szCs w:val="16"/>
        </w:rPr>
        <w:t xml:space="preserve"> </w:t>
      </w:r>
      <w:r w:rsidRPr="00650436">
        <w:rPr>
          <w:rFonts w:ascii="Palatino Linotype" w:hAnsi="Palatino Linotype"/>
          <w:b/>
          <w:sz w:val="16"/>
          <w:szCs w:val="16"/>
        </w:rPr>
        <w:t>Máxima Publicidad:</w:t>
      </w:r>
      <w:r w:rsidRPr="00650436">
        <w:rPr>
          <w:rFonts w:ascii="Palatino Linotype" w:hAnsi="Palatino Linotype"/>
          <w:sz w:val="16"/>
          <w:szCs w:val="16"/>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650436" w:rsidRPr="00650436" w:rsidRDefault="00650436" w:rsidP="00650436">
      <w:pPr>
        <w:pStyle w:val="Textonotapie"/>
        <w:jc w:val="both"/>
        <w:rPr>
          <w:rFonts w:ascii="Palatino Linotype" w:hAnsi="Palatino Linotype"/>
          <w:sz w:val="16"/>
          <w:szCs w:val="16"/>
        </w:rPr>
      </w:pPr>
      <w:r w:rsidRPr="00650436">
        <w:rPr>
          <w:rFonts w:ascii="Palatino Linotype" w:hAnsi="Palatino Linotype"/>
          <w:b/>
          <w:sz w:val="16"/>
          <w:szCs w:val="16"/>
        </w:rPr>
        <w:t>VIII. Objetividad:</w:t>
      </w:r>
      <w:r w:rsidRPr="00650436">
        <w:rPr>
          <w:rFonts w:ascii="Palatino Linotype" w:hAnsi="Palatino Linotype"/>
          <w:sz w:val="16"/>
          <w:szCs w:val="16"/>
        </w:rPr>
        <w:t xml:space="preserve"> Obligación del Instituto de ajustar su actuación a los presupuestos de ley que deben ser aplicados al analizar el caso en concreto y resolver todos los hechos, prescindiendo de las consideraciones y criterios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D409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71074"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B89AD9B" wp14:editId="1BD614A3">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6D4092"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6D4092"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871074"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871074"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E15133">
      <w:rPr>
        <w:rFonts w:ascii="Palatino Linotype" w:hAnsi="Palatino Linotype" w:cs="Arial"/>
        <w:sz w:val="20"/>
        <w:szCs w:val="20"/>
      </w:rPr>
      <w:t>4585</w:t>
    </w:r>
    <w:r w:rsidRPr="00A91250">
      <w:rPr>
        <w:rFonts w:ascii="Palatino Linotype" w:hAnsi="Palatino Linotype" w:cs="Arial"/>
        <w:sz w:val="20"/>
        <w:szCs w:val="20"/>
      </w:rPr>
      <w:t>/INFOEM/IP/RR/201</w:t>
    </w:r>
    <w:r>
      <w:rPr>
        <w:rFonts w:ascii="Palatino Linotype" w:hAnsi="Palatino Linotype" w:cs="Arial"/>
        <w:sz w:val="20"/>
        <w:szCs w:val="20"/>
      </w:rPr>
      <w:t>8</w:t>
    </w:r>
  </w:p>
  <w:p w:rsidR="00D406EF" w:rsidRDefault="006D4092"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0.3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D409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F25E7"/>
    <w:multiLevelType w:val="hybridMultilevel"/>
    <w:tmpl w:val="959E38D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44344C36"/>
    <w:multiLevelType w:val="hybridMultilevel"/>
    <w:tmpl w:val="02AA6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33"/>
    <w:rsid w:val="00005869"/>
    <w:rsid w:val="002F6DAA"/>
    <w:rsid w:val="003C0087"/>
    <w:rsid w:val="00650436"/>
    <w:rsid w:val="006D4092"/>
    <w:rsid w:val="00871074"/>
    <w:rsid w:val="008E5B32"/>
    <w:rsid w:val="00A660AE"/>
    <w:rsid w:val="00AA3390"/>
    <w:rsid w:val="00B30592"/>
    <w:rsid w:val="00C23B43"/>
    <w:rsid w:val="00C93643"/>
    <w:rsid w:val="00C9714C"/>
    <w:rsid w:val="00DA0FE7"/>
    <w:rsid w:val="00DB0491"/>
    <w:rsid w:val="00E15133"/>
    <w:rsid w:val="00E4348E"/>
    <w:rsid w:val="00E67C7B"/>
    <w:rsid w:val="00E779F1"/>
    <w:rsid w:val="00E803C5"/>
    <w:rsid w:val="00F07A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C37B6C5-0263-4196-9479-92033FF7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133"/>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E15133"/>
    <w:rPr>
      <w:rFonts w:eastAsiaTheme="minorEastAsia"/>
      <w:sz w:val="24"/>
      <w:szCs w:val="24"/>
      <w:lang w:val="es-ES_tradnl" w:eastAsia="es-ES"/>
    </w:rPr>
  </w:style>
  <w:style w:type="paragraph" w:styleId="Piedepgina">
    <w:name w:val="footer"/>
    <w:basedOn w:val="Normal"/>
    <w:link w:val="PiedepginaCar"/>
    <w:uiPriority w:val="99"/>
    <w:unhideWhenUsed/>
    <w:rsid w:val="00E15133"/>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E1513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133"/>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133"/>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AA33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390"/>
    <w:rPr>
      <w:rFonts w:ascii="Segoe UI" w:hAnsi="Segoe UI" w:cs="Segoe UI"/>
      <w:sz w:val="18"/>
      <w:szCs w:val="18"/>
    </w:rPr>
  </w:style>
  <w:style w:type="paragraph" w:styleId="Textonotapie">
    <w:name w:val="footnote text"/>
    <w:basedOn w:val="Normal"/>
    <w:link w:val="TextonotapieCar"/>
    <w:uiPriority w:val="99"/>
    <w:semiHidden/>
    <w:unhideWhenUsed/>
    <w:rsid w:val="0065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0436"/>
    <w:rPr>
      <w:sz w:val="20"/>
      <w:szCs w:val="20"/>
    </w:rPr>
  </w:style>
  <w:style w:type="character" w:styleId="Refdenotaalpie">
    <w:name w:val="footnote reference"/>
    <w:basedOn w:val="Fuentedeprrafopredeter"/>
    <w:uiPriority w:val="99"/>
    <w:semiHidden/>
    <w:unhideWhenUsed/>
    <w:rsid w:val="00650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17FD-E7CC-4E58-A9B0-B155CF09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2685</Words>
  <Characters>14772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2019-03-05T23:11:00Z</cp:lastPrinted>
  <dcterms:created xsi:type="dcterms:W3CDTF">2019-03-04T23:39:00Z</dcterms:created>
  <dcterms:modified xsi:type="dcterms:W3CDTF">2019-03-15T00:58:00Z</dcterms:modified>
</cp:coreProperties>
</file>